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ar-SA"/>
        </w:rPr>
        <w:id w:val="1268140933"/>
        <w:docPartObj>
          <w:docPartGallery w:val="Cover Pages"/>
          <w:docPartUnique/>
        </w:docPartObj>
      </w:sdtPr>
      <w:sdtEndPr>
        <w:rPr>
          <w:rFonts w:ascii="Calibri" w:eastAsia="Times New Roman" w:hAnsi="Calibri" w:cs="Times New Roman"/>
          <w:b/>
          <w:caps w:val="0"/>
          <w:sz w:val="28"/>
        </w:rPr>
      </w:sdtEndPr>
      <w:sdtContent>
        <w:tbl>
          <w:tblPr>
            <w:tblW w:w="5000" w:type="pct"/>
            <w:jc w:val="center"/>
            <w:tblLook w:val="04A0" w:firstRow="1" w:lastRow="0" w:firstColumn="1" w:lastColumn="0" w:noHBand="0" w:noVBand="1"/>
          </w:tblPr>
          <w:tblGrid>
            <w:gridCol w:w="10800"/>
          </w:tblGrid>
          <w:tr w:rsidR="00223D78" w14:paraId="001C7B51" w14:textId="77777777">
            <w:trPr>
              <w:trHeight w:val="2880"/>
              <w:jc w:val="center"/>
            </w:trPr>
            <w:tc>
              <w:tcPr>
                <w:tcW w:w="5000" w:type="pct"/>
              </w:tcPr>
              <w:p w14:paraId="069E664C" w14:textId="77777777" w:rsidR="00223D78" w:rsidRDefault="00223D78" w:rsidP="00223D78">
                <w:pPr>
                  <w:pStyle w:val="NoSpacing"/>
                  <w:jc w:val="center"/>
                  <w:rPr>
                    <w:rFonts w:asciiTheme="majorHAnsi" w:eastAsiaTheme="majorEastAsia" w:hAnsiTheme="majorHAnsi" w:cstheme="majorBidi"/>
                    <w:caps/>
                  </w:rPr>
                </w:pPr>
              </w:p>
              <w:p w14:paraId="05C730A1" w14:textId="77777777" w:rsidR="00EA63CE" w:rsidRDefault="00EA63CE" w:rsidP="00223D78">
                <w:pPr>
                  <w:pStyle w:val="NoSpacing"/>
                  <w:jc w:val="center"/>
                  <w:rPr>
                    <w:rFonts w:asciiTheme="majorHAnsi" w:eastAsiaTheme="majorEastAsia" w:hAnsiTheme="majorHAnsi" w:cstheme="majorBidi"/>
                    <w:caps/>
                  </w:rPr>
                </w:pPr>
              </w:p>
              <w:p w14:paraId="45A13ABF" w14:textId="77777777" w:rsidR="00EA63CE" w:rsidRDefault="00EA63CE" w:rsidP="00223D78">
                <w:pPr>
                  <w:pStyle w:val="NoSpacing"/>
                  <w:jc w:val="center"/>
                  <w:rPr>
                    <w:rFonts w:asciiTheme="majorHAnsi" w:eastAsiaTheme="majorEastAsia" w:hAnsiTheme="majorHAnsi" w:cstheme="majorBidi"/>
                    <w:caps/>
                  </w:rPr>
                </w:pPr>
              </w:p>
              <w:p w14:paraId="55579C4F" w14:textId="77777777" w:rsidR="00EA63CE" w:rsidRDefault="00EA63CE" w:rsidP="00223D78">
                <w:pPr>
                  <w:pStyle w:val="NoSpacing"/>
                  <w:jc w:val="center"/>
                  <w:rPr>
                    <w:rFonts w:asciiTheme="majorHAnsi" w:eastAsiaTheme="majorEastAsia" w:hAnsiTheme="majorHAnsi" w:cstheme="majorBidi"/>
                    <w:caps/>
                  </w:rPr>
                </w:pPr>
              </w:p>
              <w:p w14:paraId="1D146442" w14:textId="77777777" w:rsidR="00EA63CE" w:rsidRDefault="00EA63CE" w:rsidP="00223D78">
                <w:pPr>
                  <w:pStyle w:val="NoSpacing"/>
                  <w:jc w:val="center"/>
                  <w:rPr>
                    <w:rFonts w:asciiTheme="majorHAnsi" w:eastAsiaTheme="majorEastAsia" w:hAnsiTheme="majorHAnsi" w:cstheme="majorBidi"/>
                    <w:caps/>
                  </w:rPr>
                </w:pPr>
              </w:p>
              <w:p w14:paraId="3256FE7C" w14:textId="77777777" w:rsidR="00EA63CE" w:rsidRDefault="00EA63CE" w:rsidP="00223D78">
                <w:pPr>
                  <w:pStyle w:val="NoSpacing"/>
                  <w:jc w:val="center"/>
                  <w:rPr>
                    <w:rFonts w:asciiTheme="majorHAnsi" w:eastAsiaTheme="majorEastAsia" w:hAnsiTheme="majorHAnsi" w:cstheme="majorBidi"/>
                    <w:caps/>
                  </w:rPr>
                </w:pPr>
              </w:p>
              <w:p w14:paraId="4E6DB1F7" w14:textId="77777777" w:rsidR="00EA63CE" w:rsidRDefault="00EA63CE" w:rsidP="00223D78">
                <w:pPr>
                  <w:pStyle w:val="NoSpacing"/>
                  <w:jc w:val="center"/>
                  <w:rPr>
                    <w:rFonts w:asciiTheme="majorHAnsi" w:eastAsiaTheme="majorEastAsia" w:hAnsiTheme="majorHAnsi" w:cstheme="majorBidi"/>
                    <w:caps/>
                  </w:rPr>
                </w:pPr>
              </w:p>
              <w:p w14:paraId="61511F2E" w14:textId="77777777" w:rsidR="00EA63CE" w:rsidRDefault="00EA63CE" w:rsidP="00223D78">
                <w:pPr>
                  <w:pStyle w:val="NoSpacing"/>
                  <w:jc w:val="center"/>
                  <w:rPr>
                    <w:rFonts w:asciiTheme="majorHAnsi" w:eastAsiaTheme="majorEastAsia" w:hAnsiTheme="majorHAnsi" w:cstheme="majorBidi"/>
                    <w:caps/>
                  </w:rPr>
                </w:pPr>
              </w:p>
              <w:p w14:paraId="0026085F" w14:textId="77777777" w:rsidR="00EA63CE" w:rsidRPr="00EA63CE" w:rsidRDefault="00EA63CE" w:rsidP="00223D78">
                <w:pPr>
                  <w:pStyle w:val="NoSpacing"/>
                  <w:jc w:val="center"/>
                  <w:rPr>
                    <w:rFonts w:eastAsiaTheme="majorEastAsia" w:cstheme="majorBidi"/>
                    <w:b/>
                    <w:caps/>
                  </w:rPr>
                </w:pPr>
              </w:p>
              <w:p w14:paraId="4E1BE420" w14:textId="77777777" w:rsidR="00EA63CE" w:rsidRDefault="00EA63CE" w:rsidP="00223D78">
                <w:pPr>
                  <w:pStyle w:val="NoSpacing"/>
                  <w:jc w:val="center"/>
                  <w:rPr>
                    <w:rFonts w:asciiTheme="majorHAnsi" w:eastAsiaTheme="majorEastAsia" w:hAnsiTheme="majorHAnsi" w:cstheme="majorBidi"/>
                    <w:caps/>
                  </w:rPr>
                </w:pPr>
              </w:p>
              <w:p w14:paraId="1F0B81A3" w14:textId="77777777" w:rsidR="00EA63CE" w:rsidRDefault="00EA63CE" w:rsidP="00223D78">
                <w:pPr>
                  <w:pStyle w:val="NoSpacing"/>
                  <w:jc w:val="center"/>
                  <w:rPr>
                    <w:rFonts w:asciiTheme="majorHAnsi" w:eastAsiaTheme="majorEastAsia" w:hAnsiTheme="majorHAnsi" w:cstheme="majorBidi"/>
                    <w:caps/>
                  </w:rPr>
                </w:pPr>
              </w:p>
              <w:p w14:paraId="1778FC32" w14:textId="77777777" w:rsidR="00EA63CE" w:rsidRDefault="00EA63CE" w:rsidP="00223D78">
                <w:pPr>
                  <w:pStyle w:val="NoSpacing"/>
                  <w:jc w:val="center"/>
                  <w:rPr>
                    <w:rFonts w:asciiTheme="majorHAnsi" w:eastAsiaTheme="majorEastAsia" w:hAnsiTheme="majorHAnsi" w:cstheme="majorBidi"/>
                    <w:caps/>
                  </w:rPr>
                </w:pPr>
              </w:p>
              <w:p w14:paraId="176FC390" w14:textId="77777777" w:rsidR="00EA63CE" w:rsidRDefault="00EA63CE" w:rsidP="00223D78">
                <w:pPr>
                  <w:pStyle w:val="NoSpacing"/>
                  <w:jc w:val="center"/>
                  <w:rPr>
                    <w:rFonts w:asciiTheme="majorHAnsi" w:eastAsiaTheme="majorEastAsia" w:hAnsiTheme="majorHAnsi" w:cstheme="majorBidi"/>
                    <w:caps/>
                  </w:rPr>
                </w:pPr>
              </w:p>
              <w:p w14:paraId="35AE2409" w14:textId="77777777" w:rsidR="00EA63CE" w:rsidRDefault="00EA63CE" w:rsidP="00223D78">
                <w:pPr>
                  <w:pStyle w:val="NoSpacing"/>
                  <w:jc w:val="center"/>
                  <w:rPr>
                    <w:rFonts w:asciiTheme="majorHAnsi" w:eastAsiaTheme="majorEastAsia" w:hAnsiTheme="majorHAnsi" w:cstheme="majorBidi"/>
                    <w:caps/>
                  </w:rPr>
                </w:pPr>
              </w:p>
              <w:p w14:paraId="74A93400" w14:textId="77777777" w:rsidR="00EA63CE" w:rsidRDefault="00EA63CE" w:rsidP="00223D78">
                <w:pPr>
                  <w:pStyle w:val="NoSpacing"/>
                  <w:jc w:val="center"/>
                  <w:rPr>
                    <w:rFonts w:asciiTheme="majorHAnsi" w:eastAsiaTheme="majorEastAsia" w:hAnsiTheme="majorHAnsi" w:cstheme="majorBidi"/>
                    <w:caps/>
                  </w:rPr>
                </w:pPr>
              </w:p>
              <w:p w14:paraId="1A3CCFD3" w14:textId="77777777" w:rsidR="00EA63CE" w:rsidRDefault="00EA63CE" w:rsidP="00223D78">
                <w:pPr>
                  <w:pStyle w:val="NoSpacing"/>
                  <w:jc w:val="center"/>
                  <w:rPr>
                    <w:rFonts w:asciiTheme="majorHAnsi" w:eastAsiaTheme="majorEastAsia" w:hAnsiTheme="majorHAnsi" w:cstheme="majorBidi"/>
                    <w:caps/>
                  </w:rPr>
                </w:pPr>
              </w:p>
              <w:p w14:paraId="29FD93D1" w14:textId="77777777" w:rsidR="00EA63CE" w:rsidRDefault="00EA63CE" w:rsidP="00223D78">
                <w:pPr>
                  <w:pStyle w:val="NoSpacing"/>
                  <w:jc w:val="center"/>
                  <w:rPr>
                    <w:rFonts w:asciiTheme="majorHAnsi" w:eastAsiaTheme="majorEastAsia" w:hAnsiTheme="majorHAnsi" w:cstheme="majorBidi"/>
                    <w:caps/>
                  </w:rPr>
                </w:pPr>
              </w:p>
            </w:tc>
          </w:tr>
          <w:tr w:rsidR="00223D78" w14:paraId="04C304FE" w14:textId="77777777">
            <w:trPr>
              <w:trHeight w:val="1440"/>
              <w:jc w:val="center"/>
            </w:trPr>
            <w:sdt>
              <w:sdtPr>
                <w:rPr>
                  <w:rFonts w:eastAsiaTheme="majorEastAsia" w:cstheme="majorBidi"/>
                  <w:b/>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FB3835A" w14:textId="77777777" w:rsidR="00223D78" w:rsidRPr="00EA63CE" w:rsidRDefault="0061639D" w:rsidP="00FD5913">
                    <w:pPr>
                      <w:pStyle w:val="NoSpacing"/>
                      <w:jc w:val="center"/>
                      <w:rPr>
                        <w:rFonts w:eastAsiaTheme="majorEastAsia" w:cstheme="majorBidi"/>
                        <w:b/>
                        <w:sz w:val="80"/>
                        <w:szCs w:val="80"/>
                      </w:rPr>
                    </w:pPr>
                    <w:r>
                      <w:rPr>
                        <w:rFonts w:eastAsiaTheme="majorEastAsia" w:cstheme="majorBidi"/>
                        <w:b/>
                        <w:sz w:val="80"/>
                        <w:szCs w:val="80"/>
                      </w:rPr>
                      <w:t xml:space="preserve">     </w:t>
                    </w:r>
                  </w:p>
                </w:tc>
              </w:sdtContent>
            </w:sdt>
          </w:tr>
          <w:tr w:rsidR="00223D78" w14:paraId="289761C0" w14:textId="77777777">
            <w:trPr>
              <w:trHeight w:val="720"/>
              <w:jc w:val="center"/>
            </w:trPr>
            <w:tc>
              <w:tcPr>
                <w:tcW w:w="5000" w:type="pct"/>
                <w:tcBorders>
                  <w:top w:val="single" w:sz="4" w:space="0" w:color="4F81BD" w:themeColor="accent1"/>
                </w:tcBorders>
                <w:vAlign w:val="center"/>
              </w:tcPr>
              <w:p w14:paraId="48A33859" w14:textId="0C39DD31" w:rsidR="0061639D" w:rsidRDefault="001D7802" w:rsidP="0061639D">
                <w:pPr>
                  <w:pStyle w:val="NoSpacing"/>
                  <w:jc w:val="center"/>
                  <w:rPr>
                    <w:rFonts w:eastAsiaTheme="majorEastAsia" w:cstheme="majorBidi"/>
                    <w:sz w:val="44"/>
                    <w:szCs w:val="44"/>
                  </w:rPr>
                </w:pPr>
                <w:r>
                  <w:rPr>
                    <w:rFonts w:eastAsiaTheme="majorEastAsia" w:cstheme="majorBidi"/>
                    <w:sz w:val="44"/>
                    <w:szCs w:val="44"/>
                  </w:rPr>
                  <w:t xml:space="preserve">Advising Financial </w:t>
                </w:r>
                <w:r w:rsidR="00EA63CE" w:rsidRPr="00EA63CE">
                  <w:rPr>
                    <w:rFonts w:eastAsiaTheme="majorEastAsia" w:cstheme="majorBidi"/>
                    <w:sz w:val="44"/>
                    <w:szCs w:val="44"/>
                  </w:rPr>
                  <w:t xml:space="preserve">Orientation Document </w:t>
                </w:r>
              </w:p>
              <w:p w14:paraId="22E7510F" w14:textId="0555F139" w:rsidR="00BF3C2B" w:rsidRDefault="00BF3C2B" w:rsidP="0061639D">
                <w:pPr>
                  <w:pStyle w:val="NoSpacing"/>
                  <w:jc w:val="center"/>
                  <w:rPr>
                    <w:rFonts w:asciiTheme="majorHAnsi" w:eastAsiaTheme="majorEastAsia" w:hAnsiTheme="majorHAnsi" w:cstheme="majorBidi"/>
                    <w:sz w:val="44"/>
                    <w:szCs w:val="44"/>
                  </w:rPr>
                </w:pPr>
                <w:r>
                  <w:rPr>
                    <w:rFonts w:eastAsiaTheme="majorEastAsia" w:cstheme="majorBidi"/>
                    <w:sz w:val="44"/>
                    <w:szCs w:val="44"/>
                  </w:rPr>
                  <w:t>149-063-1323</w:t>
                </w:r>
              </w:p>
              <w:p w14:paraId="38B59163" w14:textId="77777777" w:rsidR="00223D78" w:rsidRDefault="00223D78" w:rsidP="00EA63CE">
                <w:pPr>
                  <w:pStyle w:val="NoSpacing"/>
                  <w:jc w:val="center"/>
                  <w:rPr>
                    <w:rFonts w:asciiTheme="majorHAnsi" w:eastAsiaTheme="majorEastAsia" w:hAnsiTheme="majorHAnsi" w:cstheme="majorBidi"/>
                    <w:sz w:val="44"/>
                    <w:szCs w:val="44"/>
                  </w:rPr>
                </w:pPr>
              </w:p>
            </w:tc>
          </w:tr>
          <w:tr w:rsidR="00223D78" w14:paraId="6B0732B0" w14:textId="77777777">
            <w:trPr>
              <w:trHeight w:val="360"/>
              <w:jc w:val="center"/>
            </w:trPr>
            <w:tc>
              <w:tcPr>
                <w:tcW w:w="5000" w:type="pct"/>
                <w:vAlign w:val="center"/>
              </w:tcPr>
              <w:p w14:paraId="528DD3F9" w14:textId="77777777" w:rsidR="00223D78" w:rsidRDefault="00223D78">
                <w:pPr>
                  <w:pStyle w:val="NoSpacing"/>
                  <w:jc w:val="center"/>
                </w:pPr>
              </w:p>
              <w:p w14:paraId="2609CD67" w14:textId="77777777" w:rsidR="00EA63CE" w:rsidRDefault="00EA63CE">
                <w:pPr>
                  <w:pStyle w:val="NoSpacing"/>
                  <w:jc w:val="center"/>
                </w:pPr>
              </w:p>
              <w:p w14:paraId="6119A901" w14:textId="77777777" w:rsidR="00EA63CE" w:rsidRDefault="00EA63CE" w:rsidP="00256CA2">
                <w:pPr>
                  <w:pStyle w:val="NoSpacing"/>
                </w:pPr>
              </w:p>
              <w:p w14:paraId="30757B3C" w14:textId="77777777" w:rsidR="00EA63CE" w:rsidRDefault="00EA63CE">
                <w:pPr>
                  <w:pStyle w:val="NoSpacing"/>
                  <w:jc w:val="center"/>
                </w:pPr>
              </w:p>
              <w:p w14:paraId="2605678B" w14:textId="77777777" w:rsidR="00EA63CE" w:rsidRDefault="00EA63CE">
                <w:pPr>
                  <w:pStyle w:val="NoSpacing"/>
                  <w:jc w:val="center"/>
                </w:pPr>
              </w:p>
              <w:p w14:paraId="3862028F" w14:textId="77777777" w:rsidR="00EA63CE" w:rsidRDefault="00EA63CE">
                <w:pPr>
                  <w:pStyle w:val="NoSpacing"/>
                  <w:jc w:val="center"/>
                </w:pPr>
              </w:p>
              <w:p w14:paraId="2308F13B" w14:textId="77777777" w:rsidR="00EA63CE" w:rsidRDefault="00EA63CE">
                <w:pPr>
                  <w:pStyle w:val="NoSpacing"/>
                  <w:jc w:val="center"/>
                </w:pPr>
              </w:p>
              <w:p w14:paraId="291B30A3" w14:textId="77777777" w:rsidR="00EA63CE" w:rsidRDefault="00EA63CE">
                <w:pPr>
                  <w:pStyle w:val="NoSpacing"/>
                  <w:jc w:val="center"/>
                </w:pPr>
              </w:p>
              <w:p w14:paraId="1325ACA4" w14:textId="77777777" w:rsidR="00EA63CE" w:rsidRDefault="00EA63CE" w:rsidP="00256CA2">
                <w:pPr>
                  <w:pStyle w:val="NoSpacing"/>
                </w:pPr>
              </w:p>
              <w:p w14:paraId="275CD7BC" w14:textId="77777777" w:rsidR="00EA63CE" w:rsidRDefault="00EA63CE">
                <w:pPr>
                  <w:pStyle w:val="NoSpacing"/>
                  <w:jc w:val="center"/>
                </w:pPr>
              </w:p>
              <w:p w14:paraId="2FCD1E11" w14:textId="77777777" w:rsidR="00EA63CE" w:rsidRDefault="00EA63CE">
                <w:pPr>
                  <w:pStyle w:val="NoSpacing"/>
                  <w:jc w:val="center"/>
                </w:pPr>
              </w:p>
            </w:tc>
          </w:tr>
        </w:tbl>
        <w:p w14:paraId="0E3072D7" w14:textId="77777777" w:rsidR="00FD52C4" w:rsidRDefault="00D138CC" w:rsidP="00FD52C4">
          <w:pPr>
            <w:suppressAutoHyphens w:val="0"/>
            <w:ind w:right="547"/>
            <w:rPr>
              <w:rFonts w:ascii="Calibri" w:hAnsi="Calibri"/>
              <w:b/>
              <w:sz w:val="28"/>
            </w:rPr>
          </w:pPr>
        </w:p>
      </w:sdtContent>
    </w:sdt>
    <w:p w14:paraId="73B260F8" w14:textId="77777777" w:rsidR="0061639D" w:rsidRDefault="0061639D" w:rsidP="00FD52C4">
      <w:pPr>
        <w:suppressAutoHyphens w:val="0"/>
        <w:ind w:left="2160" w:right="547" w:firstLine="720"/>
        <w:rPr>
          <w:rFonts w:ascii="Calibri" w:hAnsi="Calibri"/>
          <w:b/>
          <w:sz w:val="32"/>
        </w:rPr>
      </w:pPr>
    </w:p>
    <w:p w14:paraId="1D3EF325" w14:textId="77777777" w:rsidR="0061639D" w:rsidRDefault="0061639D" w:rsidP="00FD52C4">
      <w:pPr>
        <w:suppressAutoHyphens w:val="0"/>
        <w:ind w:left="2160" w:right="547" w:firstLine="720"/>
        <w:rPr>
          <w:rFonts w:ascii="Calibri" w:hAnsi="Calibri"/>
          <w:b/>
          <w:sz w:val="32"/>
        </w:rPr>
      </w:pPr>
    </w:p>
    <w:p w14:paraId="13029F65" w14:textId="77777777" w:rsidR="0061639D" w:rsidRDefault="0061639D" w:rsidP="00FD52C4">
      <w:pPr>
        <w:suppressAutoHyphens w:val="0"/>
        <w:ind w:left="2160" w:right="547" w:firstLine="720"/>
        <w:rPr>
          <w:rFonts w:ascii="Calibri" w:hAnsi="Calibri"/>
          <w:b/>
          <w:sz w:val="32"/>
        </w:rPr>
      </w:pPr>
    </w:p>
    <w:p w14:paraId="66A9AE12" w14:textId="77777777" w:rsidR="0061639D" w:rsidRDefault="0061639D" w:rsidP="00FD52C4">
      <w:pPr>
        <w:suppressAutoHyphens w:val="0"/>
        <w:ind w:left="2160" w:right="547" w:firstLine="720"/>
        <w:rPr>
          <w:rFonts w:ascii="Calibri" w:hAnsi="Calibri"/>
          <w:b/>
          <w:sz w:val="32"/>
        </w:rPr>
      </w:pPr>
    </w:p>
    <w:p w14:paraId="1687D437" w14:textId="77777777" w:rsidR="0061639D" w:rsidRDefault="0061639D" w:rsidP="00FD52C4">
      <w:pPr>
        <w:suppressAutoHyphens w:val="0"/>
        <w:ind w:left="2160" w:right="547" w:firstLine="720"/>
        <w:rPr>
          <w:rFonts w:ascii="Calibri" w:hAnsi="Calibri"/>
          <w:b/>
          <w:sz w:val="32"/>
        </w:rPr>
      </w:pPr>
    </w:p>
    <w:p w14:paraId="73E4F621" w14:textId="77777777" w:rsidR="0061639D" w:rsidRDefault="0061639D" w:rsidP="00FD52C4">
      <w:pPr>
        <w:suppressAutoHyphens w:val="0"/>
        <w:ind w:left="2160" w:right="547" w:firstLine="720"/>
        <w:rPr>
          <w:rFonts w:ascii="Calibri" w:hAnsi="Calibri"/>
          <w:b/>
          <w:sz w:val="32"/>
        </w:rPr>
      </w:pPr>
    </w:p>
    <w:p w14:paraId="31C33A03" w14:textId="77777777" w:rsidR="0061639D" w:rsidRDefault="0061639D" w:rsidP="00FD52C4">
      <w:pPr>
        <w:suppressAutoHyphens w:val="0"/>
        <w:ind w:left="2160" w:right="547" w:firstLine="720"/>
        <w:rPr>
          <w:rFonts w:ascii="Calibri" w:hAnsi="Calibri"/>
          <w:b/>
          <w:sz w:val="32"/>
        </w:rPr>
      </w:pPr>
    </w:p>
    <w:p w14:paraId="29955FD4" w14:textId="77777777" w:rsidR="0061639D" w:rsidRDefault="0061639D" w:rsidP="00FD52C4">
      <w:pPr>
        <w:suppressAutoHyphens w:val="0"/>
        <w:ind w:left="2160" w:right="547" w:firstLine="720"/>
        <w:rPr>
          <w:rFonts w:ascii="Calibri" w:hAnsi="Calibri"/>
          <w:b/>
          <w:sz w:val="32"/>
        </w:rPr>
      </w:pPr>
    </w:p>
    <w:p w14:paraId="628A2094" w14:textId="77777777" w:rsidR="0061639D" w:rsidRDefault="0061639D" w:rsidP="00FD52C4">
      <w:pPr>
        <w:suppressAutoHyphens w:val="0"/>
        <w:ind w:left="2160" w:right="547" w:firstLine="720"/>
        <w:rPr>
          <w:rFonts w:ascii="Calibri" w:hAnsi="Calibri"/>
          <w:b/>
          <w:sz w:val="32"/>
        </w:rPr>
      </w:pPr>
    </w:p>
    <w:p w14:paraId="6810C26D" w14:textId="77777777" w:rsidR="0061639D" w:rsidRDefault="0061639D" w:rsidP="00FD52C4">
      <w:pPr>
        <w:suppressAutoHyphens w:val="0"/>
        <w:ind w:left="2160" w:right="547" w:firstLine="720"/>
        <w:rPr>
          <w:rFonts w:ascii="Calibri" w:hAnsi="Calibri"/>
          <w:b/>
          <w:sz w:val="32"/>
        </w:rPr>
      </w:pPr>
    </w:p>
    <w:p w14:paraId="65FFC8AE" w14:textId="77777777" w:rsidR="00DE4EAB" w:rsidRPr="00781B34" w:rsidRDefault="00DE4EAB" w:rsidP="00DE4EAB">
      <w:pPr>
        <w:jc w:val="center"/>
        <w:rPr>
          <w:rFonts w:ascii="Calibri" w:hAnsi="Calibri"/>
          <w:i/>
          <w:sz w:val="28"/>
        </w:rPr>
      </w:pPr>
      <w:r>
        <w:rPr>
          <w:rFonts w:ascii="Calibri" w:hAnsi="Calibri"/>
          <w:i/>
          <w:sz w:val="28"/>
        </w:rPr>
        <w:t>Orientation Document</w:t>
      </w:r>
    </w:p>
    <w:p w14:paraId="20C2A96F" w14:textId="77777777" w:rsidR="00DE4EAB" w:rsidRDefault="00CB7420" w:rsidP="00DE4EAB">
      <w:pPr>
        <w:jc w:val="center"/>
        <w:rPr>
          <w:rFonts w:ascii="Calibri" w:hAnsi="Calibri"/>
          <w:sz w:val="22"/>
        </w:rPr>
      </w:pPr>
      <w:r>
        <w:rPr>
          <w:rFonts w:ascii="Calibri" w:hAnsi="Calibri"/>
          <w:sz w:val="22"/>
        </w:rPr>
        <w:t>Fiscal Year 2</w:t>
      </w:r>
      <w:r w:rsidR="0061639D">
        <w:rPr>
          <w:rFonts w:ascii="Calibri" w:hAnsi="Calibri"/>
          <w:sz w:val="22"/>
        </w:rPr>
        <w:t>019-20</w:t>
      </w:r>
    </w:p>
    <w:p w14:paraId="66EAC237" w14:textId="77777777" w:rsidR="00DE4EAB" w:rsidRDefault="00DE4EAB" w:rsidP="00DE4EAB">
      <w:pPr>
        <w:jc w:val="center"/>
        <w:rPr>
          <w:rFonts w:ascii="Calibri" w:hAnsi="Calibri"/>
          <w:sz w:val="22"/>
        </w:rPr>
      </w:pPr>
    </w:p>
    <w:p w14:paraId="5729AF57" w14:textId="24A3AE58" w:rsidR="007F13E4" w:rsidRPr="007F13E4" w:rsidRDefault="0099408A" w:rsidP="007F13E4">
      <w:pPr>
        <w:pStyle w:val="ListParagraph"/>
        <w:numPr>
          <w:ilvl w:val="0"/>
          <w:numId w:val="2"/>
        </w:numPr>
        <w:ind w:left="450" w:hanging="360"/>
        <w:rPr>
          <w:rFonts w:ascii="Calibri" w:hAnsi="Calibri"/>
          <w:b/>
          <w:sz w:val="22"/>
        </w:rPr>
      </w:pPr>
      <w:r>
        <w:rPr>
          <w:rFonts w:ascii="Calibri" w:hAnsi="Calibri"/>
          <w:b/>
          <w:sz w:val="22"/>
        </w:rPr>
        <w:t xml:space="preserve">Please </w:t>
      </w:r>
      <w:r w:rsidR="00AC5D5B">
        <w:rPr>
          <w:rFonts w:ascii="Calibri" w:hAnsi="Calibri"/>
          <w:b/>
          <w:sz w:val="22"/>
        </w:rPr>
        <w:t>provide</w:t>
      </w:r>
      <w:r w:rsidR="009A4CC9" w:rsidRPr="007F13E4">
        <w:rPr>
          <w:rFonts w:ascii="Calibri" w:hAnsi="Calibri"/>
          <w:b/>
          <w:sz w:val="22"/>
        </w:rPr>
        <w:t xml:space="preserve"> </w:t>
      </w:r>
      <w:proofErr w:type="gramStart"/>
      <w:r w:rsidR="00F90A68">
        <w:rPr>
          <w:rFonts w:ascii="Calibri" w:hAnsi="Calibri"/>
          <w:b/>
          <w:sz w:val="22"/>
        </w:rPr>
        <w:t xml:space="preserve">an </w:t>
      </w:r>
      <w:r w:rsidR="00AC5D5B">
        <w:rPr>
          <w:rFonts w:ascii="Calibri" w:hAnsi="Calibri"/>
          <w:b/>
          <w:sz w:val="22"/>
        </w:rPr>
        <w:t xml:space="preserve">overall description of your unit and what </w:t>
      </w:r>
      <w:r w:rsidR="000B52A5">
        <w:rPr>
          <w:rFonts w:ascii="Calibri" w:hAnsi="Calibri"/>
          <w:b/>
          <w:sz w:val="22"/>
        </w:rPr>
        <w:t xml:space="preserve">support, </w:t>
      </w:r>
      <w:r w:rsidR="00AC5D5B">
        <w:rPr>
          <w:rFonts w:ascii="Calibri" w:hAnsi="Calibri"/>
          <w:b/>
          <w:sz w:val="22"/>
        </w:rPr>
        <w:t>services &amp; activities it provides</w:t>
      </w:r>
      <w:r w:rsidR="00B84750" w:rsidRPr="007F13E4">
        <w:rPr>
          <w:rFonts w:ascii="Calibri" w:hAnsi="Calibri"/>
          <w:b/>
          <w:sz w:val="22"/>
        </w:rPr>
        <w:t xml:space="preserve"> </w:t>
      </w:r>
      <w:r w:rsidR="00416EE1">
        <w:rPr>
          <w:rFonts w:ascii="Calibri" w:hAnsi="Calibri"/>
          <w:b/>
          <w:sz w:val="22"/>
        </w:rPr>
        <w:t>for</w:t>
      </w:r>
      <w:r w:rsidR="00B84750" w:rsidRPr="007F13E4">
        <w:rPr>
          <w:rFonts w:ascii="Calibri" w:hAnsi="Calibri"/>
          <w:b/>
          <w:sz w:val="22"/>
        </w:rPr>
        <w:t xml:space="preserve"> students</w:t>
      </w:r>
      <w:proofErr w:type="gramEnd"/>
      <w:r w:rsidR="00AC5D5B">
        <w:rPr>
          <w:rFonts w:ascii="Calibri" w:hAnsi="Calibri"/>
          <w:b/>
          <w:sz w:val="22"/>
        </w:rPr>
        <w:t>.</w:t>
      </w:r>
    </w:p>
    <w:p w14:paraId="2B52F7F8" w14:textId="77777777" w:rsidR="00BF3C2B" w:rsidRDefault="00BF3C2B" w:rsidP="00BF3C2B">
      <w:pPr>
        <w:ind w:left="450"/>
        <w:rPr>
          <w:rFonts w:ascii="Calibri" w:hAnsi="Calibri"/>
          <w:sz w:val="22"/>
        </w:rPr>
      </w:pPr>
    </w:p>
    <w:p w14:paraId="75388401" w14:textId="28FFB68B" w:rsidR="00B84750" w:rsidRDefault="00BF3C2B" w:rsidP="00BF3C2B">
      <w:pPr>
        <w:ind w:left="450"/>
        <w:rPr>
          <w:rFonts w:ascii="Calibri" w:hAnsi="Calibri"/>
          <w:sz w:val="22"/>
        </w:rPr>
      </w:pPr>
      <w:r w:rsidRPr="00BF3C2B">
        <w:rPr>
          <w:rFonts w:ascii="Calibri" w:hAnsi="Calibri"/>
          <w:sz w:val="22"/>
        </w:rPr>
        <w:t xml:space="preserve">Advising is a process based on a close student-advisor relationship intended to help students achieve their educational, career and personal goals </w:t>
      </w:r>
      <w:proofErr w:type="gramStart"/>
      <w:r w:rsidRPr="00BF3C2B">
        <w:rPr>
          <w:rFonts w:ascii="Calibri" w:hAnsi="Calibri"/>
          <w:sz w:val="22"/>
        </w:rPr>
        <w:t>through the use of</w:t>
      </w:r>
      <w:proofErr w:type="gramEnd"/>
      <w:r w:rsidRPr="00BF3C2B">
        <w:rPr>
          <w:rFonts w:ascii="Calibri" w:hAnsi="Calibri"/>
          <w:sz w:val="22"/>
        </w:rPr>
        <w:t xml:space="preserve"> the college and community resources.</w:t>
      </w:r>
    </w:p>
    <w:p w14:paraId="750AB6FA" w14:textId="371A95C6" w:rsidR="00BF3C2B" w:rsidRDefault="00BF3C2B" w:rsidP="00BF3C2B">
      <w:pPr>
        <w:ind w:left="450"/>
        <w:rPr>
          <w:rFonts w:ascii="Calibri" w:hAnsi="Calibri"/>
          <w:sz w:val="22"/>
        </w:rPr>
      </w:pPr>
    </w:p>
    <w:p w14:paraId="11F097A3" w14:textId="5FE6C5A7" w:rsidR="00BF3C2B" w:rsidRDefault="00BF3C2B" w:rsidP="00BF3C2B">
      <w:pPr>
        <w:ind w:left="450"/>
        <w:rPr>
          <w:rFonts w:ascii="Calibri" w:hAnsi="Calibri"/>
          <w:sz w:val="22"/>
        </w:rPr>
      </w:pPr>
      <w:r>
        <w:rPr>
          <w:rFonts w:ascii="Calibri" w:hAnsi="Calibri"/>
          <w:sz w:val="22"/>
        </w:rPr>
        <w:t>We help students from the beginning to the end with the following services.</w:t>
      </w:r>
    </w:p>
    <w:p w14:paraId="76CBC61E" w14:textId="649FB327" w:rsidR="00BF3C2B" w:rsidRDefault="00BF3C2B" w:rsidP="00BF3C2B">
      <w:pPr>
        <w:pStyle w:val="ListParagraph"/>
        <w:numPr>
          <w:ilvl w:val="0"/>
          <w:numId w:val="16"/>
        </w:numPr>
        <w:rPr>
          <w:rFonts w:ascii="Calibri" w:hAnsi="Calibri"/>
          <w:sz w:val="22"/>
        </w:rPr>
      </w:pPr>
      <w:r>
        <w:rPr>
          <w:rFonts w:ascii="Calibri" w:hAnsi="Calibri"/>
          <w:sz w:val="22"/>
        </w:rPr>
        <w:t>Experience Shoreline (an information session for prospective students)</w:t>
      </w:r>
    </w:p>
    <w:p w14:paraId="5DA8DACC" w14:textId="14C3EA99" w:rsidR="00BF3C2B" w:rsidRDefault="00BF3C2B" w:rsidP="00BF3C2B">
      <w:pPr>
        <w:pStyle w:val="ListParagraph"/>
        <w:numPr>
          <w:ilvl w:val="0"/>
          <w:numId w:val="16"/>
        </w:numPr>
        <w:rPr>
          <w:rFonts w:ascii="Calibri" w:hAnsi="Calibri"/>
          <w:sz w:val="22"/>
        </w:rPr>
      </w:pPr>
      <w:r>
        <w:rPr>
          <w:rFonts w:ascii="Calibri" w:hAnsi="Calibri"/>
          <w:sz w:val="22"/>
        </w:rPr>
        <w:t>START (a session that teaches students about registration and then gets them registered for the next quarter)</w:t>
      </w:r>
    </w:p>
    <w:p w14:paraId="5FF5BF1B" w14:textId="77777777" w:rsidR="00BF3C2B" w:rsidRDefault="00BF3C2B" w:rsidP="00BF3C2B">
      <w:pPr>
        <w:pStyle w:val="ListParagraph"/>
        <w:numPr>
          <w:ilvl w:val="0"/>
          <w:numId w:val="16"/>
        </w:numPr>
        <w:rPr>
          <w:rFonts w:ascii="Calibri" w:hAnsi="Calibri"/>
          <w:sz w:val="22"/>
        </w:rPr>
      </w:pPr>
      <w:r>
        <w:rPr>
          <w:rFonts w:ascii="Calibri" w:hAnsi="Calibri"/>
          <w:sz w:val="22"/>
        </w:rPr>
        <w:t>New Student Orientation (interactive session teaching students what they need to know to be a successful student, with a focus on the first quarter)</w:t>
      </w:r>
    </w:p>
    <w:p w14:paraId="1741CE3D" w14:textId="77777777" w:rsidR="00BF3C2B" w:rsidRDefault="00BF3C2B" w:rsidP="00BF3C2B">
      <w:pPr>
        <w:pStyle w:val="ListParagraph"/>
        <w:numPr>
          <w:ilvl w:val="0"/>
          <w:numId w:val="16"/>
        </w:numPr>
        <w:rPr>
          <w:rFonts w:ascii="Calibri" w:hAnsi="Calibri"/>
          <w:sz w:val="22"/>
        </w:rPr>
      </w:pPr>
      <w:r>
        <w:rPr>
          <w:rFonts w:ascii="Calibri" w:hAnsi="Calibri"/>
          <w:sz w:val="22"/>
        </w:rPr>
        <w:t>Educational Plans (in appointments, advisors map out the course plan for the student’s desired degree/cert)</w:t>
      </w:r>
    </w:p>
    <w:p w14:paraId="3B0B9ABE" w14:textId="51F22038" w:rsidR="00BF3C2B" w:rsidRDefault="00BF3C2B" w:rsidP="00BF3C2B">
      <w:pPr>
        <w:pStyle w:val="ListParagraph"/>
        <w:numPr>
          <w:ilvl w:val="0"/>
          <w:numId w:val="16"/>
        </w:numPr>
        <w:rPr>
          <w:rFonts w:ascii="Calibri" w:hAnsi="Calibri"/>
          <w:sz w:val="22"/>
        </w:rPr>
      </w:pPr>
      <w:r>
        <w:rPr>
          <w:rFonts w:ascii="Calibri" w:hAnsi="Calibri"/>
          <w:sz w:val="22"/>
        </w:rPr>
        <w:t xml:space="preserve">Shoreline Early Alert – advisors respond to alerts provided by instructional faculty about students who appear to be struggling in classes.  </w:t>
      </w:r>
    </w:p>
    <w:p w14:paraId="50CAF197" w14:textId="02FC33A5" w:rsidR="00BF3C2B" w:rsidRDefault="00BF3C2B" w:rsidP="00BF3C2B">
      <w:pPr>
        <w:pStyle w:val="ListParagraph"/>
        <w:numPr>
          <w:ilvl w:val="0"/>
          <w:numId w:val="16"/>
        </w:numPr>
        <w:rPr>
          <w:rFonts w:ascii="Calibri" w:hAnsi="Calibri"/>
          <w:sz w:val="22"/>
        </w:rPr>
      </w:pPr>
      <w:r>
        <w:rPr>
          <w:rFonts w:ascii="Calibri" w:hAnsi="Calibri"/>
          <w:sz w:val="22"/>
        </w:rPr>
        <w:t>Navigator/referrer – from meetings with students, they might refer students to various services both on and off campus to support their needs</w:t>
      </w:r>
    </w:p>
    <w:p w14:paraId="205600A2" w14:textId="3244B7F8" w:rsidR="00BF3C2B" w:rsidRPr="00BF3C2B" w:rsidRDefault="00BF3C2B" w:rsidP="00BF3C2B">
      <w:pPr>
        <w:pStyle w:val="ListParagraph"/>
        <w:numPr>
          <w:ilvl w:val="0"/>
          <w:numId w:val="16"/>
        </w:numPr>
        <w:rPr>
          <w:rFonts w:ascii="Calibri" w:hAnsi="Calibri"/>
          <w:sz w:val="22"/>
        </w:rPr>
      </w:pPr>
      <w:r>
        <w:rPr>
          <w:rFonts w:ascii="Calibri" w:hAnsi="Calibri"/>
          <w:sz w:val="22"/>
        </w:rPr>
        <w:t>Transfer planning – provide information, tools, and guidance on preparing for transfer (includes transfer workshops, one-on-one meetings, transfer fairs)</w:t>
      </w:r>
    </w:p>
    <w:p w14:paraId="142D0DAE" w14:textId="77777777" w:rsidR="00025345" w:rsidRPr="006E6913" w:rsidRDefault="00025345" w:rsidP="00025345">
      <w:pPr>
        <w:ind w:left="90"/>
        <w:rPr>
          <w:rFonts w:asciiTheme="minorHAnsi" w:hAnsiTheme="minorHAnsi"/>
        </w:rPr>
      </w:pPr>
    </w:p>
    <w:p w14:paraId="09BE3067" w14:textId="4FEAAC83" w:rsidR="007803B3" w:rsidRDefault="00883324" w:rsidP="00D001D7">
      <w:pPr>
        <w:pStyle w:val="ListParagraph"/>
        <w:numPr>
          <w:ilvl w:val="0"/>
          <w:numId w:val="2"/>
        </w:numPr>
        <w:ind w:left="450" w:hanging="360"/>
        <w:rPr>
          <w:rFonts w:ascii="Calibri" w:hAnsi="Calibri"/>
          <w:b/>
          <w:sz w:val="22"/>
        </w:rPr>
      </w:pPr>
      <w:r w:rsidRPr="00C64CEA">
        <w:rPr>
          <w:rFonts w:ascii="Calibri" w:hAnsi="Calibri"/>
          <w:b/>
          <w:sz w:val="22"/>
        </w:rPr>
        <w:t xml:space="preserve">Please utilize the graphs </w:t>
      </w:r>
      <w:r w:rsidR="00F90A68" w:rsidRPr="00C64CEA">
        <w:rPr>
          <w:rFonts w:ascii="Calibri" w:hAnsi="Calibri"/>
          <w:b/>
          <w:sz w:val="22"/>
        </w:rPr>
        <w:t xml:space="preserve">below </w:t>
      </w:r>
      <w:proofErr w:type="gramStart"/>
      <w:r w:rsidRPr="00C64CEA">
        <w:rPr>
          <w:rFonts w:ascii="Calibri" w:hAnsi="Calibri"/>
          <w:b/>
          <w:sz w:val="22"/>
        </w:rPr>
        <w:t xml:space="preserve">to </w:t>
      </w:r>
      <w:r w:rsidR="00F90A68" w:rsidRPr="00C64CEA">
        <w:rPr>
          <w:rFonts w:ascii="Calibri" w:hAnsi="Calibri"/>
          <w:b/>
          <w:sz w:val="22"/>
        </w:rPr>
        <w:t xml:space="preserve">visually </w:t>
      </w:r>
      <w:r w:rsidRPr="00C64CEA">
        <w:rPr>
          <w:rFonts w:ascii="Calibri" w:hAnsi="Calibri"/>
          <w:b/>
          <w:sz w:val="22"/>
        </w:rPr>
        <w:t>display</w:t>
      </w:r>
      <w:proofErr w:type="gramEnd"/>
      <w:r w:rsidRPr="00C64CEA">
        <w:rPr>
          <w:rFonts w:ascii="Calibri" w:hAnsi="Calibri"/>
          <w:b/>
          <w:sz w:val="22"/>
        </w:rPr>
        <w:t xml:space="preserve"> how</w:t>
      </w:r>
      <w:r w:rsidR="00D001D7" w:rsidRPr="00C64CEA">
        <w:rPr>
          <w:rFonts w:ascii="Calibri" w:hAnsi="Calibri"/>
          <w:b/>
          <w:sz w:val="22"/>
        </w:rPr>
        <w:t xml:space="preserve"> </w:t>
      </w:r>
      <w:r w:rsidRPr="00C64CEA">
        <w:rPr>
          <w:rFonts w:ascii="Calibri" w:hAnsi="Calibri"/>
          <w:b/>
          <w:sz w:val="22"/>
        </w:rPr>
        <w:t xml:space="preserve">your unit uses </w:t>
      </w:r>
      <w:r w:rsidR="0061639D">
        <w:rPr>
          <w:rFonts w:ascii="Calibri" w:hAnsi="Calibri"/>
          <w:b/>
          <w:sz w:val="22"/>
        </w:rPr>
        <w:t>your budget allocation</w:t>
      </w:r>
      <w:r w:rsidR="00D001D7" w:rsidRPr="00C64CEA">
        <w:rPr>
          <w:rFonts w:ascii="Calibri" w:hAnsi="Calibri"/>
          <w:b/>
          <w:sz w:val="22"/>
        </w:rPr>
        <w:t>. If your unit receives funding or revenue from source</w:t>
      </w:r>
      <w:r w:rsidRPr="00C64CEA">
        <w:rPr>
          <w:rFonts w:ascii="Calibri" w:hAnsi="Calibri"/>
          <w:b/>
          <w:sz w:val="22"/>
        </w:rPr>
        <w:t>s</w:t>
      </w:r>
      <w:r w:rsidR="00416EE1">
        <w:rPr>
          <w:rFonts w:ascii="Calibri" w:hAnsi="Calibri"/>
          <w:b/>
          <w:sz w:val="22"/>
        </w:rPr>
        <w:t xml:space="preserve"> other than </w:t>
      </w:r>
      <w:r w:rsidR="0061639D">
        <w:rPr>
          <w:rFonts w:ascii="Calibri" w:hAnsi="Calibri"/>
          <w:b/>
          <w:sz w:val="22"/>
        </w:rPr>
        <w:t>the state</w:t>
      </w:r>
      <w:r w:rsidR="00416EE1">
        <w:rPr>
          <w:rFonts w:ascii="Calibri" w:hAnsi="Calibri"/>
          <w:b/>
          <w:sz w:val="22"/>
        </w:rPr>
        <w:t>, please utilize</w:t>
      </w:r>
      <w:r w:rsidRPr="00C64CEA">
        <w:rPr>
          <w:rFonts w:ascii="Calibri" w:hAnsi="Calibri"/>
          <w:b/>
          <w:sz w:val="22"/>
        </w:rPr>
        <w:t xml:space="preserve"> the </w:t>
      </w:r>
      <w:r w:rsidR="00C64CEA" w:rsidRPr="00C64CEA">
        <w:rPr>
          <w:rFonts w:ascii="Calibri" w:hAnsi="Calibri"/>
          <w:b/>
          <w:sz w:val="22"/>
        </w:rPr>
        <w:t>third</w:t>
      </w:r>
      <w:r w:rsidRPr="00C64CEA">
        <w:rPr>
          <w:rFonts w:ascii="Calibri" w:hAnsi="Calibri"/>
          <w:b/>
          <w:sz w:val="22"/>
        </w:rPr>
        <w:t xml:space="preserve"> graph</w:t>
      </w:r>
      <w:r w:rsidR="00D001D7" w:rsidRPr="00C64CEA">
        <w:rPr>
          <w:rFonts w:ascii="Calibri" w:hAnsi="Calibri"/>
          <w:b/>
          <w:sz w:val="22"/>
        </w:rPr>
        <w:t xml:space="preserve"> showing a breakdown of your unit’s total revenue/funding.</w:t>
      </w:r>
      <w:r w:rsidR="007235BA" w:rsidRPr="00C64CEA">
        <w:rPr>
          <w:rFonts w:ascii="Calibri" w:hAnsi="Calibri"/>
          <w:b/>
          <w:sz w:val="22"/>
        </w:rPr>
        <w:t xml:space="preserve"> </w:t>
      </w:r>
      <w:r w:rsidR="00A2502D">
        <w:rPr>
          <w:rFonts w:ascii="Calibri" w:hAnsi="Calibri"/>
          <w:b/>
          <w:sz w:val="22"/>
        </w:rPr>
        <w:t>(Placeholder figures have been included in the excel spreadsheet as examples</w:t>
      </w:r>
      <w:r w:rsidR="000B52A5">
        <w:rPr>
          <w:rFonts w:ascii="Calibri" w:hAnsi="Calibri"/>
          <w:b/>
          <w:sz w:val="22"/>
        </w:rPr>
        <w:t>).  You may use your own labels such as described at the budget meeting (Program index: Instruction, Instructional support, Library operations, Student Services, Institutional Support, Plant Operation &amp; Maintenance) or some other label to describe your budget allocation.</w:t>
      </w:r>
    </w:p>
    <w:p w14:paraId="78E9037D" w14:textId="66704239" w:rsidR="00094F3A" w:rsidRDefault="00094F3A" w:rsidP="00094F3A">
      <w:pPr>
        <w:rPr>
          <w:rFonts w:ascii="Calibri" w:hAnsi="Calibri"/>
          <w:b/>
          <w:sz w:val="22"/>
        </w:rPr>
      </w:pPr>
    </w:p>
    <w:p w14:paraId="154DBAEE" w14:textId="6208F09C" w:rsidR="00094F3A" w:rsidRDefault="00094F3A" w:rsidP="00094F3A">
      <w:pPr>
        <w:rPr>
          <w:rFonts w:ascii="Calibri" w:hAnsi="Calibri"/>
          <w:b/>
          <w:sz w:val="22"/>
        </w:rPr>
      </w:pPr>
    </w:p>
    <w:p w14:paraId="0C037AB3" w14:textId="5C4C3D1C" w:rsidR="00094F3A" w:rsidRPr="00094F3A" w:rsidRDefault="00094F3A" w:rsidP="00AD7B30">
      <w:pPr>
        <w:jc w:val="center"/>
        <w:rPr>
          <w:rFonts w:ascii="Calibri" w:hAnsi="Calibri"/>
          <w:b/>
          <w:sz w:val="22"/>
        </w:rPr>
      </w:pPr>
      <w:r>
        <w:rPr>
          <w:rFonts w:ascii="Calibri" w:hAnsi="Calibri"/>
          <w:b/>
          <w:noProof/>
          <w:sz w:val="22"/>
          <w:lang w:eastAsia="en-US"/>
        </w:rPr>
        <mc:AlternateContent>
          <mc:Choice Requires="cx1">
            <w:drawing>
              <wp:inline distT="0" distB="0" distL="0" distR="0" wp14:anchorId="73D15407" wp14:editId="62B2A895">
                <wp:extent cx="5486400" cy="3200400"/>
                <wp:effectExtent l="0" t="0" r="0" b="0"/>
                <wp:docPr id="3" name="Chart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73D15407" wp14:editId="62B2A895">
                <wp:extent cx="5486400" cy="3200400"/>
                <wp:effectExtent l="0" t="0" r="0" b="0"/>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9"/>
                        <a:stretch>
                          <a:fillRect/>
                        </a:stretch>
                      </pic:blipFill>
                      <pic:spPr>
                        <a:xfrm>
                          <a:off x="0" y="0"/>
                          <a:ext cx="5486400" cy="3200400"/>
                        </a:xfrm>
                        <a:prstGeom prst="rect">
                          <a:avLst/>
                        </a:prstGeom>
                      </pic:spPr>
                    </pic:pic>
                  </a:graphicData>
                </a:graphic>
              </wp:inline>
            </w:drawing>
          </mc:Fallback>
        </mc:AlternateContent>
      </w:r>
    </w:p>
    <w:p w14:paraId="60538F72" w14:textId="77777777" w:rsidR="00C64CEA" w:rsidRDefault="00C64CEA" w:rsidP="007803B3">
      <w:pPr>
        <w:pStyle w:val="ListParagraph"/>
        <w:ind w:left="450"/>
        <w:rPr>
          <w:rFonts w:ascii="Calibri" w:hAnsi="Calibri"/>
          <w:b/>
          <w:sz w:val="22"/>
        </w:rPr>
      </w:pPr>
    </w:p>
    <w:p w14:paraId="00B2F2D1" w14:textId="4F264749" w:rsidR="003567C8" w:rsidRPr="00FD52C4" w:rsidRDefault="003567C8" w:rsidP="00FD52C4">
      <w:pPr>
        <w:pStyle w:val="ListParagraph"/>
        <w:ind w:left="0"/>
        <w:rPr>
          <w:rFonts w:ascii="Calibri" w:hAnsi="Calibri"/>
          <w:b/>
          <w:sz w:val="22"/>
        </w:rPr>
      </w:pPr>
    </w:p>
    <w:p w14:paraId="2E3023A6" w14:textId="77777777" w:rsidR="000B52A5" w:rsidRDefault="000B52A5" w:rsidP="000B52A5">
      <w:pPr>
        <w:rPr>
          <w:rFonts w:ascii="Calibri" w:hAnsi="Calibri"/>
          <w:b/>
          <w:sz w:val="22"/>
        </w:rPr>
      </w:pPr>
    </w:p>
    <w:p w14:paraId="7884828F" w14:textId="77777777" w:rsidR="000B52A5" w:rsidRPr="000B52A5" w:rsidRDefault="000B52A5" w:rsidP="000B52A5">
      <w:pPr>
        <w:pStyle w:val="ListParagraph"/>
        <w:ind w:left="1440"/>
        <w:rPr>
          <w:rFonts w:ascii="Calibri" w:hAnsi="Calibri"/>
          <w:sz w:val="22"/>
        </w:rPr>
      </w:pPr>
    </w:p>
    <w:p w14:paraId="669BC565" w14:textId="47DB4BB6" w:rsidR="00D001D7" w:rsidRPr="008B1FD6" w:rsidRDefault="007803B3" w:rsidP="005771DF">
      <w:pPr>
        <w:pStyle w:val="ListParagraph"/>
        <w:numPr>
          <w:ilvl w:val="0"/>
          <w:numId w:val="2"/>
        </w:numPr>
        <w:ind w:left="450" w:hanging="360"/>
        <w:rPr>
          <w:rFonts w:ascii="Calibri" w:hAnsi="Calibri"/>
          <w:sz w:val="22"/>
        </w:rPr>
      </w:pPr>
      <w:r w:rsidRPr="000B52A5">
        <w:rPr>
          <w:rFonts w:ascii="Calibri" w:hAnsi="Calibri"/>
          <w:b/>
          <w:sz w:val="22"/>
        </w:rPr>
        <w:t xml:space="preserve">How has your unit responded to </w:t>
      </w:r>
      <w:r w:rsidR="00D001D7" w:rsidRPr="000B52A5">
        <w:rPr>
          <w:rFonts w:ascii="Calibri" w:hAnsi="Calibri"/>
          <w:b/>
          <w:sz w:val="22"/>
        </w:rPr>
        <w:t>chang</w:t>
      </w:r>
      <w:r w:rsidRPr="000B52A5">
        <w:rPr>
          <w:rFonts w:ascii="Calibri" w:hAnsi="Calibri"/>
          <w:b/>
          <w:sz w:val="22"/>
        </w:rPr>
        <w:t>es in funding levels</w:t>
      </w:r>
      <w:r w:rsidR="008D6E4E" w:rsidRPr="000B52A5">
        <w:rPr>
          <w:rFonts w:ascii="Calibri" w:hAnsi="Calibri"/>
          <w:b/>
          <w:sz w:val="22"/>
        </w:rPr>
        <w:t xml:space="preserve"> over the previous two (2) fiscal years</w:t>
      </w:r>
      <w:r w:rsidR="00D001D7" w:rsidRPr="000B52A5">
        <w:rPr>
          <w:rFonts w:ascii="Calibri" w:hAnsi="Calibri"/>
          <w:b/>
          <w:sz w:val="22"/>
        </w:rPr>
        <w:t xml:space="preserve">? </w:t>
      </w:r>
      <w:r w:rsidR="003567C8" w:rsidRPr="000B52A5">
        <w:rPr>
          <w:rFonts w:ascii="Calibri" w:hAnsi="Calibri"/>
          <w:b/>
          <w:sz w:val="22"/>
        </w:rPr>
        <w:t>Please</w:t>
      </w:r>
      <w:r w:rsidR="00D001D7" w:rsidRPr="000B52A5">
        <w:rPr>
          <w:rFonts w:ascii="Calibri" w:hAnsi="Calibri"/>
          <w:b/>
          <w:sz w:val="22"/>
        </w:rPr>
        <w:t xml:space="preserve"> </w:t>
      </w:r>
      <w:r w:rsidR="00034C8E" w:rsidRPr="000B52A5">
        <w:rPr>
          <w:rFonts w:ascii="Calibri" w:hAnsi="Calibri"/>
          <w:b/>
          <w:sz w:val="22"/>
        </w:rPr>
        <w:t>also address any</w:t>
      </w:r>
      <w:r w:rsidR="00D001D7" w:rsidRPr="000B52A5">
        <w:rPr>
          <w:rFonts w:ascii="Calibri" w:hAnsi="Calibri"/>
          <w:b/>
          <w:sz w:val="22"/>
        </w:rPr>
        <w:t xml:space="preserve"> changes in </w:t>
      </w:r>
      <w:r w:rsidR="00D001D7" w:rsidRPr="000B52A5">
        <w:rPr>
          <w:rFonts w:ascii="Calibri" w:hAnsi="Calibri"/>
          <w:b/>
          <w:sz w:val="22"/>
          <w:highlight w:val="yellow"/>
        </w:rPr>
        <w:t>non-</w:t>
      </w:r>
      <w:r w:rsidR="0061639D" w:rsidRPr="000B52A5">
        <w:rPr>
          <w:rFonts w:ascii="Calibri" w:hAnsi="Calibri"/>
          <w:b/>
          <w:sz w:val="22"/>
          <w:highlight w:val="yellow"/>
        </w:rPr>
        <w:t>state</w:t>
      </w:r>
      <w:r w:rsidR="00D001D7" w:rsidRPr="000B52A5">
        <w:rPr>
          <w:rFonts w:ascii="Calibri" w:hAnsi="Calibri"/>
          <w:b/>
          <w:sz w:val="22"/>
          <w:highlight w:val="yellow"/>
        </w:rPr>
        <w:t xml:space="preserve"> funding</w:t>
      </w:r>
      <w:r w:rsidR="00D001D7" w:rsidRPr="000B52A5">
        <w:rPr>
          <w:rFonts w:ascii="Calibri" w:hAnsi="Calibri"/>
          <w:b/>
          <w:sz w:val="22"/>
        </w:rPr>
        <w:t xml:space="preserve"> for your unit.</w:t>
      </w:r>
    </w:p>
    <w:p w14:paraId="42F45092" w14:textId="77777777" w:rsidR="008B1FD6" w:rsidRPr="008B1FD6" w:rsidRDefault="008B1FD6" w:rsidP="008B1FD6">
      <w:pPr>
        <w:pStyle w:val="ListParagraph"/>
        <w:ind w:left="450"/>
        <w:rPr>
          <w:rFonts w:ascii="Calibri" w:hAnsi="Calibri"/>
          <w:sz w:val="22"/>
        </w:rPr>
      </w:pPr>
    </w:p>
    <w:p w14:paraId="28877011" w14:textId="77777777" w:rsidR="00AD7B30" w:rsidRDefault="00AD7B30" w:rsidP="008B1FD6">
      <w:pPr>
        <w:pStyle w:val="ListParagraph"/>
        <w:numPr>
          <w:ilvl w:val="0"/>
          <w:numId w:val="14"/>
        </w:numPr>
        <w:ind w:left="1260"/>
        <w:rPr>
          <w:rFonts w:ascii="Calibri" w:hAnsi="Calibri"/>
          <w:sz w:val="22"/>
        </w:rPr>
      </w:pPr>
      <w:r>
        <w:rPr>
          <w:rFonts w:ascii="Calibri" w:hAnsi="Calibri"/>
          <w:sz w:val="22"/>
        </w:rPr>
        <w:t xml:space="preserve">The funding level has not changed in the past two fiscal years (besides salary and benefits increases). </w:t>
      </w:r>
    </w:p>
    <w:p w14:paraId="7BB1C409" w14:textId="6DBA8B85" w:rsidR="00AD7B30" w:rsidRDefault="00AD7B30" w:rsidP="008B1FD6">
      <w:pPr>
        <w:pStyle w:val="ListParagraph"/>
        <w:numPr>
          <w:ilvl w:val="0"/>
          <w:numId w:val="14"/>
        </w:numPr>
        <w:ind w:left="1260"/>
        <w:rPr>
          <w:rFonts w:ascii="Calibri" w:hAnsi="Calibri"/>
          <w:sz w:val="22"/>
        </w:rPr>
      </w:pPr>
      <w:r>
        <w:rPr>
          <w:rFonts w:ascii="Calibri" w:hAnsi="Calibri"/>
          <w:sz w:val="22"/>
        </w:rPr>
        <w:t xml:space="preserve">I have rearranged the money to appropriate categories to ensure we have enough funding in each line. Example – where there was no funding for travel, I moved money within the budget to ensure there was. </w:t>
      </w:r>
    </w:p>
    <w:p w14:paraId="31445400" w14:textId="226E474B" w:rsidR="008B1FD6" w:rsidRPr="008B1FD6" w:rsidRDefault="00AD7B30" w:rsidP="008B1FD6">
      <w:pPr>
        <w:pStyle w:val="ListParagraph"/>
        <w:numPr>
          <w:ilvl w:val="0"/>
          <w:numId w:val="14"/>
        </w:numPr>
        <w:ind w:left="1260"/>
        <w:rPr>
          <w:rFonts w:ascii="Calibri" w:hAnsi="Calibri"/>
          <w:sz w:val="22"/>
        </w:rPr>
      </w:pPr>
      <w:r>
        <w:rPr>
          <w:rFonts w:ascii="Calibri" w:hAnsi="Calibri"/>
          <w:sz w:val="22"/>
        </w:rPr>
        <w:t xml:space="preserve">There have been large faculty salary increases and back pay to faculty in the last two years that was not budgeted for. </w:t>
      </w:r>
    </w:p>
    <w:p w14:paraId="00F09CD2" w14:textId="77777777" w:rsidR="00034C8E" w:rsidRDefault="00034C8E" w:rsidP="000344DC">
      <w:pPr>
        <w:ind w:left="90"/>
        <w:rPr>
          <w:rFonts w:ascii="Calibri" w:hAnsi="Calibri"/>
          <w:sz w:val="22"/>
        </w:rPr>
      </w:pPr>
    </w:p>
    <w:p w14:paraId="35A51BF5" w14:textId="2DEA1170" w:rsidR="0099408A" w:rsidRDefault="0099408A" w:rsidP="00290782">
      <w:pPr>
        <w:suppressAutoHyphens w:val="0"/>
        <w:ind w:right="547"/>
        <w:rPr>
          <w:rFonts w:ascii="Calibri" w:hAnsi="Calibri"/>
          <w:sz w:val="22"/>
        </w:rPr>
      </w:pPr>
    </w:p>
    <w:p w14:paraId="1A2E5CD9" w14:textId="617565B0" w:rsidR="000344DC" w:rsidRDefault="000344DC" w:rsidP="003567C8">
      <w:pPr>
        <w:pStyle w:val="ListParagraph"/>
        <w:numPr>
          <w:ilvl w:val="0"/>
          <w:numId w:val="2"/>
        </w:numPr>
        <w:ind w:left="450" w:hanging="360"/>
        <w:rPr>
          <w:rFonts w:ascii="Calibri" w:hAnsi="Calibri"/>
          <w:b/>
          <w:sz w:val="22"/>
        </w:rPr>
      </w:pPr>
      <w:r>
        <w:rPr>
          <w:rFonts w:ascii="Calibri" w:hAnsi="Calibri"/>
          <w:b/>
          <w:sz w:val="22"/>
        </w:rPr>
        <w:t xml:space="preserve">What are your unit’s short (1-2 year) and long term (3+ year) organizational goals? </w:t>
      </w:r>
      <w:r w:rsidRPr="007803B3">
        <w:rPr>
          <w:rFonts w:ascii="Calibri" w:hAnsi="Calibri"/>
          <w:b/>
          <w:sz w:val="22"/>
        </w:rPr>
        <w:t xml:space="preserve">What are your unit’s strategies for </w:t>
      </w:r>
      <w:r w:rsidR="00293839">
        <w:rPr>
          <w:rFonts w:ascii="Calibri" w:hAnsi="Calibri"/>
          <w:b/>
          <w:sz w:val="22"/>
        </w:rPr>
        <w:t>achieving</w:t>
      </w:r>
      <w:r w:rsidRPr="007803B3">
        <w:rPr>
          <w:rFonts w:ascii="Calibri" w:hAnsi="Calibri"/>
          <w:b/>
          <w:sz w:val="22"/>
        </w:rPr>
        <w:t xml:space="preserve"> these goals?</w:t>
      </w:r>
      <w:r w:rsidR="003567C8" w:rsidRPr="007803B3">
        <w:rPr>
          <w:rFonts w:ascii="Calibri" w:hAnsi="Calibri"/>
          <w:b/>
          <w:sz w:val="22"/>
        </w:rPr>
        <w:t xml:space="preserve"> </w:t>
      </w:r>
      <w:r w:rsidRPr="007803B3">
        <w:rPr>
          <w:rFonts w:ascii="Calibri" w:hAnsi="Calibri"/>
          <w:b/>
          <w:sz w:val="22"/>
        </w:rPr>
        <w:t xml:space="preserve">Please explain the impact these goals will have on </w:t>
      </w:r>
      <w:r w:rsidR="003567C8" w:rsidRPr="007803B3">
        <w:rPr>
          <w:rFonts w:ascii="Calibri" w:hAnsi="Calibri"/>
          <w:b/>
          <w:sz w:val="22"/>
        </w:rPr>
        <w:t xml:space="preserve">students and </w:t>
      </w:r>
      <w:proofErr w:type="gramStart"/>
      <w:r w:rsidR="003567C8" w:rsidRPr="007803B3">
        <w:rPr>
          <w:rFonts w:ascii="Calibri" w:hAnsi="Calibri"/>
          <w:b/>
          <w:sz w:val="22"/>
        </w:rPr>
        <w:t>your</w:t>
      </w:r>
      <w:proofErr w:type="gramEnd"/>
      <w:r w:rsidR="003567C8" w:rsidRPr="007803B3">
        <w:rPr>
          <w:rFonts w:ascii="Calibri" w:hAnsi="Calibri"/>
          <w:b/>
          <w:sz w:val="22"/>
        </w:rPr>
        <w:t xml:space="preserve"> funding, both from </w:t>
      </w:r>
      <w:r w:rsidR="0061639D" w:rsidRPr="0061639D">
        <w:rPr>
          <w:rFonts w:ascii="Calibri" w:hAnsi="Calibri"/>
          <w:b/>
          <w:sz w:val="22"/>
          <w:highlight w:val="yellow"/>
        </w:rPr>
        <w:t>state</w:t>
      </w:r>
      <w:r w:rsidR="003567C8" w:rsidRPr="0061639D">
        <w:rPr>
          <w:rFonts w:ascii="Calibri" w:hAnsi="Calibri"/>
          <w:b/>
          <w:sz w:val="22"/>
          <w:highlight w:val="yellow"/>
        </w:rPr>
        <w:t xml:space="preserve"> and non-</w:t>
      </w:r>
      <w:r w:rsidR="0061639D" w:rsidRPr="0061639D">
        <w:rPr>
          <w:rFonts w:ascii="Calibri" w:hAnsi="Calibri"/>
          <w:b/>
          <w:sz w:val="22"/>
          <w:highlight w:val="yellow"/>
        </w:rPr>
        <w:t>state</w:t>
      </w:r>
      <w:r w:rsidR="003567C8" w:rsidRPr="0061639D">
        <w:rPr>
          <w:rFonts w:ascii="Calibri" w:hAnsi="Calibri"/>
          <w:b/>
          <w:sz w:val="22"/>
          <w:highlight w:val="yellow"/>
        </w:rPr>
        <w:t xml:space="preserve"> sources</w:t>
      </w:r>
      <w:r w:rsidRPr="007803B3">
        <w:rPr>
          <w:rFonts w:ascii="Calibri" w:hAnsi="Calibri"/>
          <w:b/>
          <w:sz w:val="22"/>
        </w:rPr>
        <w:t>.</w:t>
      </w:r>
      <w:r w:rsidRPr="003567C8">
        <w:rPr>
          <w:rFonts w:ascii="Calibri" w:hAnsi="Calibri"/>
          <w:b/>
          <w:sz w:val="22"/>
        </w:rPr>
        <w:t xml:space="preserve"> </w:t>
      </w:r>
    </w:p>
    <w:p w14:paraId="6FCB0DC4" w14:textId="77777777" w:rsidR="00BF3C2B" w:rsidRDefault="00BF3C2B" w:rsidP="00BF3C2B">
      <w:pPr>
        <w:pStyle w:val="ListParagraph"/>
        <w:ind w:left="450"/>
        <w:rPr>
          <w:rFonts w:ascii="Calibri" w:hAnsi="Calibri"/>
          <w:b/>
          <w:sz w:val="22"/>
        </w:rPr>
      </w:pPr>
    </w:p>
    <w:p w14:paraId="6FA28BA6" w14:textId="6C1E80C5" w:rsidR="00BF3C2B" w:rsidRPr="00BF3C2B" w:rsidRDefault="00BF3C2B" w:rsidP="00BF3C2B">
      <w:pPr>
        <w:ind w:left="450"/>
        <w:rPr>
          <w:rFonts w:ascii="Calibri" w:hAnsi="Calibri"/>
          <w:b/>
          <w:sz w:val="22"/>
        </w:rPr>
      </w:pPr>
      <w:r>
        <w:rPr>
          <w:rFonts w:ascii="Calibri" w:hAnsi="Calibri"/>
          <w:b/>
          <w:sz w:val="22"/>
        </w:rPr>
        <w:t>Short-Term</w:t>
      </w:r>
    </w:p>
    <w:p w14:paraId="69CE1AA9" w14:textId="090126CB" w:rsidR="00AD7B30" w:rsidRPr="00AD7B30" w:rsidRDefault="00AD7B30" w:rsidP="00AD7B30">
      <w:pPr>
        <w:pStyle w:val="ListParagraph"/>
        <w:numPr>
          <w:ilvl w:val="0"/>
          <w:numId w:val="15"/>
        </w:numPr>
        <w:rPr>
          <w:rFonts w:ascii="Calibri" w:hAnsi="Calibri"/>
          <w:b/>
          <w:sz w:val="22"/>
        </w:rPr>
      </w:pPr>
      <w:r>
        <w:rPr>
          <w:rFonts w:ascii="Calibri" w:hAnsi="Calibri"/>
          <w:sz w:val="22"/>
        </w:rPr>
        <w:t xml:space="preserve">Norah is the Advising Program Coordinator but there is no budgeted line item for her in this budget. She </w:t>
      </w:r>
      <w:proofErr w:type="gramStart"/>
      <w:r>
        <w:rPr>
          <w:rFonts w:ascii="Calibri" w:hAnsi="Calibri"/>
          <w:sz w:val="22"/>
        </w:rPr>
        <w:t>is currently paid</w:t>
      </w:r>
      <w:proofErr w:type="gramEnd"/>
      <w:r>
        <w:rPr>
          <w:rFonts w:ascii="Calibri" w:hAnsi="Calibri"/>
          <w:sz w:val="22"/>
        </w:rPr>
        <w:t xml:space="preserve"> from the Running Start budget. This is a remnant from when Advising/Counseling/Running Start split in 2014-15.  This is important because a goal for Running Start is to have a program coordinator specifically for that program and there is money for that. A program coordinator is essential to Advising to ensure students are getting </w:t>
      </w:r>
      <w:proofErr w:type="gramStart"/>
      <w:r>
        <w:rPr>
          <w:rFonts w:ascii="Calibri" w:hAnsi="Calibri"/>
          <w:sz w:val="22"/>
        </w:rPr>
        <w:t>appointments,</w:t>
      </w:r>
      <w:proofErr w:type="gramEnd"/>
      <w:r>
        <w:rPr>
          <w:rFonts w:ascii="Calibri" w:hAnsi="Calibri"/>
          <w:sz w:val="22"/>
        </w:rPr>
        <w:t xml:space="preserve"> events are coordinated (such as room scheduling, advertised on the calendar, sign-up sheets/RSVPs,</w:t>
      </w:r>
      <w:r w:rsidR="00BF3C2B">
        <w:rPr>
          <w:rFonts w:ascii="Calibri" w:hAnsi="Calibri"/>
          <w:sz w:val="22"/>
        </w:rPr>
        <w:t xml:space="preserve"> folders stuffed, signage). This position also supports the associate dean with administrative tasks like calendaring and budget and keeping her in the loop of staff needs.</w:t>
      </w:r>
    </w:p>
    <w:p w14:paraId="34CB18C4" w14:textId="693EE639" w:rsidR="00AD7B30" w:rsidRPr="00BF3C2B" w:rsidRDefault="00AD7B30" w:rsidP="00AD7B30">
      <w:pPr>
        <w:pStyle w:val="ListParagraph"/>
        <w:numPr>
          <w:ilvl w:val="0"/>
          <w:numId w:val="15"/>
        </w:numPr>
        <w:rPr>
          <w:rFonts w:ascii="Calibri" w:hAnsi="Calibri"/>
          <w:b/>
          <w:sz w:val="22"/>
        </w:rPr>
      </w:pPr>
      <w:r>
        <w:rPr>
          <w:rFonts w:ascii="Calibri" w:hAnsi="Calibri"/>
          <w:sz w:val="22"/>
        </w:rPr>
        <w:t xml:space="preserve">Before Derek became Dean, a goal for our department was to increase the number of success coaches to support students. We submitted an Innovation Grant in 2018-19 for </w:t>
      </w:r>
      <w:proofErr w:type="gramStart"/>
      <w:r>
        <w:rPr>
          <w:rFonts w:ascii="Calibri" w:hAnsi="Calibri"/>
          <w:sz w:val="22"/>
        </w:rPr>
        <w:t>2</w:t>
      </w:r>
      <w:proofErr w:type="gramEnd"/>
      <w:r>
        <w:rPr>
          <w:rFonts w:ascii="Calibri" w:hAnsi="Calibri"/>
          <w:sz w:val="22"/>
        </w:rPr>
        <w:t xml:space="preserve"> more. Still waiting to hear back.</w:t>
      </w:r>
    </w:p>
    <w:p w14:paraId="2D12FED6" w14:textId="580A2EC3" w:rsidR="00BF3C2B" w:rsidRPr="00BF3C2B" w:rsidRDefault="00BF3C2B" w:rsidP="00BF3C2B">
      <w:pPr>
        <w:ind w:left="450"/>
        <w:rPr>
          <w:rFonts w:ascii="Calibri" w:hAnsi="Calibri"/>
          <w:b/>
          <w:sz w:val="22"/>
        </w:rPr>
      </w:pPr>
      <w:r>
        <w:rPr>
          <w:rFonts w:ascii="Calibri" w:hAnsi="Calibri"/>
          <w:b/>
          <w:sz w:val="22"/>
        </w:rPr>
        <w:t>Long-Term</w:t>
      </w:r>
    </w:p>
    <w:p w14:paraId="0B4CBCEA" w14:textId="2367F923" w:rsidR="00BF3C2B" w:rsidRPr="00BF3C2B" w:rsidRDefault="00BF3C2B" w:rsidP="00AD7B30">
      <w:pPr>
        <w:pStyle w:val="ListParagraph"/>
        <w:numPr>
          <w:ilvl w:val="0"/>
          <w:numId w:val="15"/>
        </w:numPr>
        <w:rPr>
          <w:rFonts w:ascii="Calibri" w:hAnsi="Calibri"/>
          <w:b/>
          <w:sz w:val="22"/>
        </w:rPr>
      </w:pPr>
      <w:r>
        <w:rPr>
          <w:rFonts w:ascii="Calibri" w:hAnsi="Calibri"/>
          <w:sz w:val="22"/>
        </w:rPr>
        <w:t>How do we better prepare students when they first get here with career exploration/readiness?</w:t>
      </w:r>
    </w:p>
    <w:p w14:paraId="66CD780C" w14:textId="27A57498" w:rsidR="00BF3C2B" w:rsidRDefault="00BF3C2B" w:rsidP="00AD7B30">
      <w:pPr>
        <w:pStyle w:val="ListParagraph"/>
        <w:numPr>
          <w:ilvl w:val="0"/>
          <w:numId w:val="15"/>
        </w:numPr>
        <w:rPr>
          <w:rFonts w:ascii="Calibri" w:hAnsi="Calibri"/>
          <w:b/>
          <w:sz w:val="22"/>
        </w:rPr>
      </w:pPr>
      <w:r>
        <w:rPr>
          <w:rFonts w:ascii="Calibri" w:hAnsi="Calibri"/>
          <w:sz w:val="22"/>
        </w:rPr>
        <w:t xml:space="preserve">How do we better prepare student when they are about to leave for transfer/careers? </w:t>
      </w:r>
    </w:p>
    <w:p w14:paraId="7FACB84F" w14:textId="77777777" w:rsidR="008D6E4E" w:rsidRPr="00883324" w:rsidRDefault="008D6E4E" w:rsidP="008D6E4E">
      <w:pPr>
        <w:ind w:left="90"/>
        <w:rPr>
          <w:rFonts w:ascii="Calibri" w:hAnsi="Calibri"/>
          <w:sz w:val="22"/>
        </w:rPr>
      </w:pPr>
    </w:p>
    <w:p w14:paraId="2027B9D8" w14:textId="77777777" w:rsidR="008D6E4E" w:rsidRPr="00883324" w:rsidRDefault="008D6E4E" w:rsidP="008D6E4E">
      <w:pPr>
        <w:ind w:left="90"/>
        <w:rPr>
          <w:rFonts w:ascii="Calibri" w:hAnsi="Calibri"/>
          <w:sz w:val="22"/>
        </w:rPr>
      </w:pPr>
    </w:p>
    <w:p w14:paraId="2F1152C9" w14:textId="77777777" w:rsidR="00FD52C4" w:rsidRPr="006E6913" w:rsidRDefault="00FD52C4" w:rsidP="00FD52C4">
      <w:pPr>
        <w:ind w:left="90"/>
        <w:rPr>
          <w:rFonts w:asciiTheme="minorHAnsi" w:hAnsiTheme="minorHAnsi"/>
        </w:rPr>
      </w:pPr>
      <w:r w:rsidRPr="006E6913">
        <w:rPr>
          <w:rFonts w:asciiTheme="minorHAnsi" w:hAnsiTheme="minorHAnsi"/>
          <w:b/>
        </w:rPr>
        <w:t>Short (1-2 year) and long term (</w:t>
      </w:r>
      <w:proofErr w:type="gramStart"/>
      <w:r w:rsidRPr="006E6913">
        <w:rPr>
          <w:rFonts w:asciiTheme="minorHAnsi" w:hAnsiTheme="minorHAnsi"/>
          <w:b/>
        </w:rPr>
        <w:t>3</w:t>
      </w:r>
      <w:proofErr w:type="gramEnd"/>
      <w:r w:rsidRPr="006E6913">
        <w:rPr>
          <w:rFonts w:asciiTheme="minorHAnsi" w:hAnsiTheme="minorHAnsi"/>
          <w:b/>
        </w:rPr>
        <w:t xml:space="preserve">+ years) organizational goals: </w:t>
      </w:r>
    </w:p>
    <w:p w14:paraId="46A1AF27" w14:textId="08E15804" w:rsidR="00FD52C4" w:rsidRDefault="00FD52C4" w:rsidP="00FD52C4">
      <w:pPr>
        <w:ind w:left="90"/>
        <w:rPr>
          <w:rFonts w:asciiTheme="minorHAnsi" w:hAnsiTheme="minorHAnsi"/>
        </w:rPr>
      </w:pPr>
      <w:r w:rsidRPr="006E6913">
        <w:rPr>
          <w:rFonts w:asciiTheme="minorHAnsi" w:hAnsiTheme="minorHAnsi"/>
          <w:b/>
        </w:rPr>
        <w:t>Strategies for obtaining these goals</w:t>
      </w:r>
      <w:r w:rsidRPr="006E6913">
        <w:rPr>
          <w:rFonts w:asciiTheme="minorHAnsi" w:hAnsiTheme="minorHAnsi"/>
        </w:rPr>
        <w:t xml:space="preserve">: </w:t>
      </w:r>
    </w:p>
    <w:p w14:paraId="47FA3EA2" w14:textId="77777777" w:rsidR="00CA1240" w:rsidRPr="006E6913" w:rsidRDefault="00CA1240" w:rsidP="00FD52C4">
      <w:pPr>
        <w:ind w:left="90"/>
        <w:rPr>
          <w:rFonts w:asciiTheme="minorHAnsi" w:hAnsiTheme="minorHAnsi"/>
        </w:rPr>
      </w:pPr>
    </w:p>
    <w:p w14:paraId="43C9459B" w14:textId="250D4373" w:rsidR="00FD52C4" w:rsidRPr="00CA1240" w:rsidRDefault="00CA1240" w:rsidP="00CA1240">
      <w:pPr>
        <w:pStyle w:val="ListParagraph"/>
        <w:numPr>
          <w:ilvl w:val="0"/>
          <w:numId w:val="17"/>
        </w:numPr>
        <w:ind w:left="1080"/>
        <w:rPr>
          <w:rFonts w:asciiTheme="minorHAnsi" w:hAnsiTheme="minorHAnsi"/>
        </w:rPr>
      </w:pPr>
      <w:proofErr w:type="spellStart"/>
      <w:r>
        <w:rPr>
          <w:rFonts w:asciiTheme="minorHAnsi" w:hAnsiTheme="minorHAnsi"/>
        </w:rPr>
        <w:t>aSAPs</w:t>
      </w:r>
      <w:bookmarkStart w:id="0" w:name="_GoBack"/>
      <w:bookmarkEnd w:id="0"/>
      <w:proofErr w:type="spellEnd"/>
    </w:p>
    <w:p w14:paraId="0432DDC3" w14:textId="77777777" w:rsidR="00FD52C4" w:rsidRPr="006E6913" w:rsidRDefault="00FD52C4" w:rsidP="00FD52C4">
      <w:pPr>
        <w:rPr>
          <w:rFonts w:asciiTheme="minorHAnsi" w:hAnsiTheme="minorHAnsi" w:cs="Courier New"/>
          <w:color w:val="000000"/>
        </w:rPr>
      </w:pPr>
    </w:p>
    <w:p w14:paraId="2E724461" w14:textId="5EDBB5E6" w:rsidR="00FD52C4" w:rsidRPr="006E6913" w:rsidRDefault="00FD52C4" w:rsidP="00FD52C4">
      <w:pPr>
        <w:ind w:left="90"/>
        <w:rPr>
          <w:rFonts w:asciiTheme="minorHAnsi" w:hAnsiTheme="minorHAnsi"/>
          <w:b/>
        </w:rPr>
      </w:pPr>
      <w:r w:rsidRPr="006E6913">
        <w:rPr>
          <w:rFonts w:asciiTheme="minorHAnsi" w:hAnsiTheme="minorHAnsi"/>
          <w:b/>
        </w:rPr>
        <w:t xml:space="preserve">Impact of goals on students and your funding, </w:t>
      </w:r>
      <w:proofErr w:type="gramStart"/>
      <w:r w:rsidRPr="006E6913">
        <w:rPr>
          <w:rFonts w:asciiTheme="minorHAnsi" w:hAnsiTheme="minorHAnsi"/>
          <w:b/>
        </w:rPr>
        <w:t xml:space="preserve">both from </w:t>
      </w:r>
      <w:r w:rsidR="0061639D" w:rsidRPr="0061639D">
        <w:rPr>
          <w:rFonts w:asciiTheme="minorHAnsi" w:hAnsiTheme="minorHAnsi"/>
          <w:b/>
          <w:highlight w:val="yellow"/>
        </w:rPr>
        <w:t>state</w:t>
      </w:r>
      <w:r w:rsidRPr="0061639D">
        <w:rPr>
          <w:rFonts w:asciiTheme="minorHAnsi" w:hAnsiTheme="minorHAnsi"/>
          <w:b/>
          <w:highlight w:val="yellow"/>
        </w:rPr>
        <w:t xml:space="preserve"> and non</w:t>
      </w:r>
      <w:proofErr w:type="gramEnd"/>
      <w:r w:rsidRPr="0061639D">
        <w:rPr>
          <w:rFonts w:asciiTheme="minorHAnsi" w:hAnsiTheme="minorHAnsi"/>
          <w:b/>
          <w:highlight w:val="yellow"/>
        </w:rPr>
        <w:t>-</w:t>
      </w:r>
      <w:r w:rsidR="0061639D" w:rsidRPr="0061639D">
        <w:rPr>
          <w:rFonts w:asciiTheme="minorHAnsi" w:hAnsiTheme="minorHAnsi"/>
          <w:b/>
          <w:highlight w:val="yellow"/>
        </w:rPr>
        <w:t>state</w:t>
      </w:r>
      <w:r w:rsidRPr="006E6913">
        <w:rPr>
          <w:rFonts w:asciiTheme="minorHAnsi" w:hAnsiTheme="minorHAnsi"/>
          <w:b/>
        </w:rPr>
        <w:t xml:space="preserve"> sources:</w:t>
      </w:r>
    </w:p>
    <w:p w14:paraId="10955A7F" w14:textId="77777777" w:rsidR="00FD52C4" w:rsidRPr="006E6913" w:rsidRDefault="00FD52C4" w:rsidP="00FD52C4">
      <w:pPr>
        <w:ind w:left="90"/>
        <w:rPr>
          <w:rFonts w:asciiTheme="minorHAnsi" w:hAnsiTheme="minorHAnsi"/>
        </w:rPr>
      </w:pPr>
    </w:p>
    <w:p w14:paraId="69448C9B" w14:textId="07ABB6BB" w:rsidR="008D6E4E" w:rsidRDefault="008D6E4E" w:rsidP="00290782">
      <w:pPr>
        <w:suppressAutoHyphens w:val="0"/>
        <w:ind w:right="547"/>
        <w:rPr>
          <w:rFonts w:ascii="Calibri" w:hAnsi="Calibri"/>
          <w:sz w:val="22"/>
        </w:rPr>
      </w:pPr>
    </w:p>
    <w:p w14:paraId="08EB20EA" w14:textId="7028FB91" w:rsidR="00D001D7" w:rsidRDefault="008D6E4E" w:rsidP="000B52A5">
      <w:pPr>
        <w:pStyle w:val="ListParagraph"/>
        <w:numPr>
          <w:ilvl w:val="0"/>
          <w:numId w:val="2"/>
        </w:numPr>
        <w:ind w:left="450" w:hanging="360"/>
        <w:rPr>
          <w:rFonts w:ascii="Calibri" w:hAnsi="Calibri"/>
          <w:b/>
          <w:sz w:val="22"/>
        </w:rPr>
      </w:pPr>
      <w:r>
        <w:rPr>
          <w:rFonts w:ascii="Calibri" w:hAnsi="Calibri"/>
          <w:b/>
          <w:sz w:val="22"/>
        </w:rPr>
        <w:t xml:space="preserve">Looking over your unit’s short and long term organizational goals from past </w:t>
      </w:r>
      <w:r w:rsidR="00290782">
        <w:rPr>
          <w:rFonts w:ascii="Calibri" w:hAnsi="Calibri"/>
          <w:b/>
          <w:i/>
          <w:sz w:val="22"/>
        </w:rPr>
        <w:t>budget cycles</w:t>
      </w:r>
      <w:r>
        <w:rPr>
          <w:rFonts w:ascii="Calibri" w:hAnsi="Calibri"/>
          <w:b/>
          <w:sz w:val="22"/>
        </w:rPr>
        <w:t xml:space="preserve">, what </w:t>
      </w:r>
      <w:proofErr w:type="gramStart"/>
      <w:r>
        <w:rPr>
          <w:rFonts w:ascii="Calibri" w:hAnsi="Calibri"/>
          <w:b/>
          <w:sz w:val="22"/>
        </w:rPr>
        <w:t>has been done</w:t>
      </w:r>
      <w:proofErr w:type="gramEnd"/>
      <w:r>
        <w:rPr>
          <w:rFonts w:ascii="Calibri" w:hAnsi="Calibri"/>
          <w:b/>
          <w:sz w:val="22"/>
        </w:rPr>
        <w:t xml:space="preserve"> to reach those goals? Which goals </w:t>
      </w:r>
      <w:proofErr w:type="gramStart"/>
      <w:r>
        <w:rPr>
          <w:rFonts w:ascii="Calibri" w:hAnsi="Calibri"/>
          <w:b/>
          <w:sz w:val="22"/>
        </w:rPr>
        <w:t>have been reached</w:t>
      </w:r>
      <w:proofErr w:type="gramEnd"/>
      <w:r>
        <w:rPr>
          <w:rFonts w:ascii="Calibri" w:hAnsi="Calibri"/>
          <w:b/>
          <w:sz w:val="22"/>
        </w:rPr>
        <w:t xml:space="preserve"> and which goals are still in progress? Please explain how reaching these goals has </w:t>
      </w:r>
      <w:proofErr w:type="gramStart"/>
      <w:r>
        <w:rPr>
          <w:rFonts w:ascii="Calibri" w:hAnsi="Calibri"/>
          <w:b/>
          <w:sz w:val="22"/>
        </w:rPr>
        <w:t>impacted</w:t>
      </w:r>
      <w:proofErr w:type="gramEnd"/>
      <w:r>
        <w:rPr>
          <w:rFonts w:ascii="Calibri" w:hAnsi="Calibri"/>
          <w:b/>
          <w:sz w:val="22"/>
        </w:rPr>
        <w:t xml:space="preserve"> students and your funding, </w:t>
      </w:r>
      <w:r w:rsidR="00290782">
        <w:rPr>
          <w:rFonts w:ascii="Calibri" w:hAnsi="Calibri"/>
          <w:b/>
          <w:sz w:val="22"/>
        </w:rPr>
        <w:t xml:space="preserve">from both state support and </w:t>
      </w:r>
      <w:proofErr w:type="spellStart"/>
      <w:r w:rsidR="00290782">
        <w:rPr>
          <w:rFonts w:ascii="Calibri" w:hAnsi="Calibri"/>
          <w:b/>
          <w:sz w:val="22"/>
        </w:rPr>
        <w:t>non state</w:t>
      </w:r>
      <w:proofErr w:type="spellEnd"/>
      <w:r w:rsidR="00290782">
        <w:rPr>
          <w:rFonts w:ascii="Calibri" w:hAnsi="Calibri"/>
          <w:b/>
          <w:sz w:val="22"/>
        </w:rPr>
        <w:t xml:space="preserve"> support funding</w:t>
      </w:r>
      <w:r>
        <w:rPr>
          <w:rFonts w:ascii="Calibri" w:hAnsi="Calibri"/>
          <w:b/>
          <w:sz w:val="22"/>
        </w:rPr>
        <w:t xml:space="preserve">. </w:t>
      </w:r>
    </w:p>
    <w:p w14:paraId="6F47DFFC" w14:textId="77777777" w:rsidR="00DE536F" w:rsidRDefault="00DE536F" w:rsidP="00DE536F">
      <w:pPr>
        <w:pStyle w:val="ListParagraph"/>
        <w:ind w:left="450"/>
        <w:rPr>
          <w:rFonts w:ascii="Calibri" w:hAnsi="Calibri"/>
          <w:b/>
          <w:sz w:val="22"/>
        </w:rPr>
      </w:pPr>
    </w:p>
    <w:p w14:paraId="3017EE2E" w14:textId="11441C52" w:rsidR="00DE536F" w:rsidRDefault="00DE536F" w:rsidP="00DE536F">
      <w:pPr>
        <w:pStyle w:val="ListParagraph"/>
        <w:numPr>
          <w:ilvl w:val="0"/>
          <w:numId w:val="13"/>
        </w:numPr>
        <w:ind w:left="1170"/>
        <w:rPr>
          <w:rFonts w:ascii="Calibri" w:hAnsi="Calibri"/>
          <w:sz w:val="22"/>
        </w:rPr>
      </w:pPr>
      <w:r>
        <w:rPr>
          <w:rFonts w:ascii="Calibri" w:hAnsi="Calibri"/>
          <w:sz w:val="22"/>
        </w:rPr>
        <w:t xml:space="preserve">We applied for </w:t>
      </w:r>
      <w:proofErr w:type="spellStart"/>
      <w:r>
        <w:rPr>
          <w:rFonts w:ascii="Calibri" w:hAnsi="Calibri"/>
          <w:sz w:val="22"/>
        </w:rPr>
        <w:t>aSAPs</w:t>
      </w:r>
      <w:proofErr w:type="spellEnd"/>
      <w:r>
        <w:rPr>
          <w:rFonts w:ascii="Calibri" w:hAnsi="Calibri"/>
          <w:sz w:val="22"/>
        </w:rPr>
        <w:t xml:space="preserve"> in the past for </w:t>
      </w:r>
      <w:r w:rsidR="008B1FD6">
        <w:rPr>
          <w:rFonts w:ascii="Calibri" w:hAnsi="Calibri"/>
          <w:sz w:val="22"/>
        </w:rPr>
        <w:t xml:space="preserve">2 </w:t>
      </w:r>
      <w:r>
        <w:rPr>
          <w:rFonts w:ascii="Calibri" w:hAnsi="Calibri"/>
          <w:sz w:val="22"/>
        </w:rPr>
        <w:t>faculty advisors</w:t>
      </w:r>
      <w:r w:rsidR="008B1FD6">
        <w:rPr>
          <w:rFonts w:ascii="Calibri" w:hAnsi="Calibri"/>
          <w:sz w:val="22"/>
        </w:rPr>
        <w:t xml:space="preserve"> for 2015-16 year</w:t>
      </w:r>
      <w:r>
        <w:rPr>
          <w:rFonts w:ascii="Calibri" w:hAnsi="Calibri"/>
          <w:sz w:val="22"/>
        </w:rPr>
        <w:t xml:space="preserve"> (approved)</w:t>
      </w:r>
    </w:p>
    <w:p w14:paraId="47F87B16" w14:textId="7C33A881" w:rsidR="008B1FD6" w:rsidRDefault="008B1FD6" w:rsidP="00DE536F">
      <w:pPr>
        <w:pStyle w:val="ListParagraph"/>
        <w:numPr>
          <w:ilvl w:val="0"/>
          <w:numId w:val="13"/>
        </w:numPr>
        <w:ind w:left="1170"/>
        <w:rPr>
          <w:rFonts w:ascii="Calibri" w:hAnsi="Calibri"/>
          <w:sz w:val="22"/>
        </w:rPr>
      </w:pPr>
      <w:r>
        <w:rPr>
          <w:rFonts w:ascii="Calibri" w:hAnsi="Calibri"/>
          <w:sz w:val="22"/>
        </w:rPr>
        <w:t xml:space="preserve">We applied for </w:t>
      </w:r>
      <w:proofErr w:type="spellStart"/>
      <w:r>
        <w:rPr>
          <w:rFonts w:ascii="Calibri" w:hAnsi="Calibri"/>
          <w:sz w:val="22"/>
        </w:rPr>
        <w:t>aSAPs</w:t>
      </w:r>
      <w:proofErr w:type="spellEnd"/>
      <w:r>
        <w:rPr>
          <w:rFonts w:ascii="Calibri" w:hAnsi="Calibri"/>
          <w:sz w:val="22"/>
        </w:rPr>
        <w:t xml:space="preserve"> in the past for 2 more faculty advisors for 2015-17 year (approved)</w:t>
      </w:r>
    </w:p>
    <w:p w14:paraId="5E7977F9" w14:textId="49F8F925" w:rsidR="00DE536F" w:rsidRDefault="00DE536F" w:rsidP="00DE536F">
      <w:pPr>
        <w:pStyle w:val="ListParagraph"/>
        <w:numPr>
          <w:ilvl w:val="0"/>
          <w:numId w:val="13"/>
        </w:numPr>
        <w:ind w:left="1170"/>
        <w:rPr>
          <w:rFonts w:ascii="Calibri" w:hAnsi="Calibri"/>
          <w:sz w:val="22"/>
        </w:rPr>
      </w:pPr>
      <w:r>
        <w:rPr>
          <w:rFonts w:ascii="Calibri" w:hAnsi="Calibri"/>
          <w:sz w:val="22"/>
        </w:rPr>
        <w:t xml:space="preserve">We applied for </w:t>
      </w:r>
      <w:proofErr w:type="spellStart"/>
      <w:r>
        <w:rPr>
          <w:rFonts w:ascii="Calibri" w:hAnsi="Calibri"/>
          <w:sz w:val="22"/>
        </w:rPr>
        <w:t>aSAPs</w:t>
      </w:r>
      <w:proofErr w:type="spellEnd"/>
      <w:r>
        <w:rPr>
          <w:rFonts w:ascii="Calibri" w:hAnsi="Calibri"/>
          <w:sz w:val="22"/>
        </w:rPr>
        <w:t xml:space="preserve"> in the past for 3 success coaches and additional hourly funds to support the admin work for early alerts (approved)</w:t>
      </w:r>
    </w:p>
    <w:p w14:paraId="0E667768" w14:textId="4353EF90" w:rsidR="00DE536F" w:rsidRDefault="00DE536F" w:rsidP="00DE536F">
      <w:pPr>
        <w:pStyle w:val="ListParagraph"/>
        <w:numPr>
          <w:ilvl w:val="2"/>
          <w:numId w:val="13"/>
        </w:numPr>
        <w:rPr>
          <w:rFonts w:ascii="Calibri" w:hAnsi="Calibri"/>
          <w:sz w:val="22"/>
        </w:rPr>
      </w:pPr>
      <w:r>
        <w:rPr>
          <w:rFonts w:ascii="Calibri" w:hAnsi="Calibri"/>
          <w:sz w:val="22"/>
        </w:rPr>
        <w:lastRenderedPageBreak/>
        <w:t>We had permanent funding</w:t>
      </w:r>
      <w:r w:rsidR="008B1FD6">
        <w:rPr>
          <w:rFonts w:ascii="Calibri" w:hAnsi="Calibri"/>
          <w:sz w:val="22"/>
        </w:rPr>
        <w:t xml:space="preserve"> (from </w:t>
      </w:r>
      <w:proofErr w:type="spellStart"/>
      <w:r w:rsidR="008B1FD6">
        <w:rPr>
          <w:rFonts w:ascii="Calibri" w:hAnsi="Calibri"/>
          <w:sz w:val="22"/>
        </w:rPr>
        <w:t>aSAP</w:t>
      </w:r>
      <w:proofErr w:type="spellEnd"/>
      <w:r w:rsidR="008B1FD6">
        <w:rPr>
          <w:rFonts w:ascii="Calibri" w:hAnsi="Calibri"/>
          <w:sz w:val="22"/>
        </w:rPr>
        <w:t>)</w:t>
      </w:r>
      <w:r>
        <w:rPr>
          <w:rFonts w:ascii="Calibri" w:hAnsi="Calibri"/>
          <w:sz w:val="22"/>
        </w:rPr>
        <w:t xml:space="preserve"> in 2015 for one success coach (the money</w:t>
      </w:r>
      <w:r w:rsidR="008B1FD6">
        <w:rPr>
          <w:rFonts w:ascii="Calibri" w:hAnsi="Calibri"/>
          <w:sz w:val="22"/>
        </w:rPr>
        <w:t xml:space="preserve"> line</w:t>
      </w:r>
      <w:r>
        <w:rPr>
          <w:rFonts w:ascii="Calibri" w:hAnsi="Calibri"/>
          <w:sz w:val="22"/>
        </w:rPr>
        <w:t xml:space="preserve"> is now gone)</w:t>
      </w:r>
    </w:p>
    <w:p w14:paraId="219CC90A" w14:textId="3578EAA4" w:rsidR="00DE536F" w:rsidRDefault="00DE536F" w:rsidP="00DE536F">
      <w:pPr>
        <w:pStyle w:val="ListParagraph"/>
        <w:numPr>
          <w:ilvl w:val="2"/>
          <w:numId w:val="13"/>
        </w:numPr>
        <w:rPr>
          <w:rFonts w:ascii="Calibri" w:hAnsi="Calibri"/>
          <w:sz w:val="22"/>
        </w:rPr>
      </w:pPr>
      <w:r>
        <w:rPr>
          <w:rFonts w:ascii="Calibri" w:hAnsi="Calibri"/>
          <w:sz w:val="22"/>
        </w:rPr>
        <w:t>We had permanent funding in 2017 for two additional success coaches (one still exists and the other position went to C&amp;M)</w:t>
      </w:r>
    </w:p>
    <w:p w14:paraId="7ACE55A3" w14:textId="75EC9012" w:rsidR="00DE536F" w:rsidRDefault="00DE536F" w:rsidP="00DE536F">
      <w:pPr>
        <w:pStyle w:val="ListParagraph"/>
        <w:numPr>
          <w:ilvl w:val="0"/>
          <w:numId w:val="13"/>
        </w:numPr>
        <w:ind w:left="1170"/>
        <w:rPr>
          <w:rFonts w:ascii="Calibri" w:hAnsi="Calibri"/>
          <w:sz w:val="22"/>
        </w:rPr>
      </w:pPr>
      <w:r>
        <w:rPr>
          <w:rFonts w:ascii="Calibri" w:hAnsi="Calibri"/>
          <w:sz w:val="22"/>
        </w:rPr>
        <w:t>eLearning funded a 4</w:t>
      </w:r>
      <w:r w:rsidRPr="00DE536F">
        <w:rPr>
          <w:rFonts w:ascii="Calibri" w:hAnsi="Calibri"/>
          <w:sz w:val="22"/>
          <w:vertAlign w:val="superscript"/>
        </w:rPr>
        <w:t>th</w:t>
      </w:r>
      <w:r>
        <w:rPr>
          <w:rFonts w:ascii="Calibri" w:hAnsi="Calibri"/>
          <w:sz w:val="22"/>
        </w:rPr>
        <w:t xml:space="preserve"> Success Coach position from 2015-17 using eLearning fees</w:t>
      </w:r>
    </w:p>
    <w:p w14:paraId="0F6001B2" w14:textId="061A480C" w:rsidR="00DE536F" w:rsidRDefault="00DE536F" w:rsidP="00DE536F">
      <w:pPr>
        <w:pStyle w:val="ListParagraph"/>
        <w:numPr>
          <w:ilvl w:val="0"/>
          <w:numId w:val="13"/>
        </w:numPr>
        <w:ind w:left="1170"/>
        <w:rPr>
          <w:rFonts w:ascii="Calibri" w:hAnsi="Calibri"/>
          <w:sz w:val="22"/>
        </w:rPr>
      </w:pPr>
      <w:r>
        <w:rPr>
          <w:rFonts w:ascii="Calibri" w:hAnsi="Calibri"/>
          <w:sz w:val="22"/>
        </w:rPr>
        <w:t>Former supervisor applied for innovation grant (I think?) in 2015-16 to get us funding to purchase tablets for the students attending our workshops</w:t>
      </w:r>
    </w:p>
    <w:p w14:paraId="394ABAF1" w14:textId="3BCBAFC1" w:rsidR="008B1FD6" w:rsidRPr="00DE536F" w:rsidRDefault="008B1FD6" w:rsidP="00DE536F">
      <w:pPr>
        <w:pStyle w:val="ListParagraph"/>
        <w:numPr>
          <w:ilvl w:val="0"/>
          <w:numId w:val="13"/>
        </w:numPr>
        <w:ind w:left="1170"/>
        <w:rPr>
          <w:rFonts w:ascii="Calibri" w:hAnsi="Calibri"/>
          <w:sz w:val="22"/>
        </w:rPr>
      </w:pPr>
      <w:r>
        <w:rPr>
          <w:rFonts w:ascii="Calibri" w:hAnsi="Calibri"/>
          <w:sz w:val="22"/>
        </w:rPr>
        <w:t>I’ve used the money that was in past budgets and moved it to where we were actually spending (example, we did not get an increase in our budget to fund extended days, I moved PTF funds to extended days)</w:t>
      </w:r>
    </w:p>
    <w:p w14:paraId="72FACAB1" w14:textId="77777777" w:rsidR="00CB70CA" w:rsidRPr="000B52A5" w:rsidRDefault="00CB70CA" w:rsidP="00CB70CA">
      <w:pPr>
        <w:pStyle w:val="ListParagraph"/>
        <w:ind w:left="450"/>
        <w:rPr>
          <w:rFonts w:ascii="Calibri" w:hAnsi="Calibri"/>
          <w:b/>
          <w:sz w:val="22"/>
        </w:rPr>
      </w:pPr>
    </w:p>
    <w:p w14:paraId="3F5A543A" w14:textId="1B68B34A" w:rsidR="00715211" w:rsidRDefault="00715211" w:rsidP="000344DC">
      <w:pPr>
        <w:pStyle w:val="ListParagraph"/>
        <w:numPr>
          <w:ilvl w:val="0"/>
          <w:numId w:val="2"/>
        </w:numPr>
        <w:ind w:left="450" w:hanging="360"/>
        <w:rPr>
          <w:rFonts w:ascii="Calibri" w:hAnsi="Calibri"/>
          <w:b/>
          <w:sz w:val="22"/>
        </w:rPr>
      </w:pPr>
      <w:r>
        <w:rPr>
          <w:rFonts w:ascii="Calibri" w:hAnsi="Calibri"/>
          <w:b/>
          <w:sz w:val="22"/>
        </w:rPr>
        <w:t xml:space="preserve">What do you foresee as your </w:t>
      </w:r>
      <w:proofErr w:type="gramStart"/>
      <w:r>
        <w:rPr>
          <w:rFonts w:ascii="Calibri" w:hAnsi="Calibri"/>
          <w:b/>
          <w:sz w:val="22"/>
        </w:rPr>
        <w:t>unit’s</w:t>
      </w:r>
      <w:proofErr w:type="gramEnd"/>
      <w:r>
        <w:rPr>
          <w:rFonts w:ascii="Calibri" w:hAnsi="Calibri"/>
          <w:b/>
          <w:sz w:val="22"/>
        </w:rPr>
        <w:t xml:space="preserve"> short and long term potential funding sources, both operating and capital?</w:t>
      </w:r>
    </w:p>
    <w:p w14:paraId="1AB2D8B4" w14:textId="77777777" w:rsidR="00CB70CA" w:rsidRDefault="00CB70CA" w:rsidP="00CB70CA">
      <w:pPr>
        <w:pStyle w:val="ListParagraph"/>
        <w:ind w:left="450"/>
        <w:rPr>
          <w:rFonts w:ascii="Calibri" w:hAnsi="Calibri"/>
          <w:b/>
          <w:sz w:val="22"/>
        </w:rPr>
      </w:pPr>
    </w:p>
    <w:p w14:paraId="3C1648D5" w14:textId="1CF069F9" w:rsidR="00CB70CA" w:rsidRDefault="00CB70CA" w:rsidP="00CB70CA">
      <w:pPr>
        <w:pStyle w:val="ListParagraph"/>
        <w:numPr>
          <w:ilvl w:val="0"/>
          <w:numId w:val="12"/>
        </w:numPr>
        <w:rPr>
          <w:rFonts w:ascii="Calibri" w:hAnsi="Calibri"/>
          <w:sz w:val="22"/>
        </w:rPr>
      </w:pPr>
      <w:r w:rsidRPr="00CB70CA">
        <w:rPr>
          <w:rFonts w:ascii="Calibri" w:hAnsi="Calibri"/>
          <w:sz w:val="22"/>
        </w:rPr>
        <w:t xml:space="preserve">98% of the current advising budget is </w:t>
      </w:r>
      <w:r>
        <w:rPr>
          <w:rFonts w:ascii="Calibri" w:hAnsi="Calibri"/>
          <w:sz w:val="22"/>
        </w:rPr>
        <w:t xml:space="preserve">salary and </w:t>
      </w:r>
      <w:proofErr w:type="gramStart"/>
      <w:r>
        <w:rPr>
          <w:rFonts w:ascii="Calibri" w:hAnsi="Calibri"/>
          <w:sz w:val="22"/>
        </w:rPr>
        <w:t>benefits which</w:t>
      </w:r>
      <w:proofErr w:type="gramEnd"/>
      <w:r>
        <w:rPr>
          <w:rFonts w:ascii="Calibri" w:hAnsi="Calibri"/>
          <w:sz w:val="22"/>
        </w:rPr>
        <w:t xml:space="preserve"> comes from 149 budget. </w:t>
      </w:r>
    </w:p>
    <w:p w14:paraId="4F57010F" w14:textId="54EC5F03" w:rsidR="00CB70CA" w:rsidRPr="00CB70CA" w:rsidRDefault="00CB70CA" w:rsidP="00CB70CA">
      <w:pPr>
        <w:pStyle w:val="ListParagraph"/>
        <w:numPr>
          <w:ilvl w:val="0"/>
          <w:numId w:val="12"/>
        </w:numPr>
        <w:rPr>
          <w:rFonts w:ascii="Calibri" w:hAnsi="Calibri"/>
          <w:sz w:val="22"/>
        </w:rPr>
      </w:pPr>
      <w:r>
        <w:rPr>
          <w:rFonts w:ascii="Calibri" w:hAnsi="Calibri"/>
          <w:sz w:val="22"/>
        </w:rPr>
        <w:t xml:space="preserve">There are 261 workdays in a year </w:t>
      </w:r>
      <w:r w:rsidR="007A0235">
        <w:rPr>
          <w:rFonts w:ascii="Calibri" w:hAnsi="Calibri"/>
          <w:sz w:val="22"/>
        </w:rPr>
        <w:t>but</w:t>
      </w:r>
      <w:r>
        <w:rPr>
          <w:rFonts w:ascii="Calibri" w:hAnsi="Calibri"/>
          <w:sz w:val="22"/>
        </w:rPr>
        <w:t xml:space="preserve"> faculty contracts are only for 172 days. Extended days are important to provide more coverage to students so that they have more access to their advisor</w:t>
      </w:r>
    </w:p>
    <w:p w14:paraId="4E1E257C" w14:textId="04F4FB7C" w:rsidR="00CB70CA" w:rsidRDefault="00CB70CA" w:rsidP="00CB70CA">
      <w:pPr>
        <w:pStyle w:val="ListParagraph"/>
        <w:numPr>
          <w:ilvl w:val="0"/>
          <w:numId w:val="12"/>
        </w:numPr>
        <w:rPr>
          <w:rFonts w:ascii="Calibri" w:hAnsi="Calibri"/>
          <w:sz w:val="22"/>
        </w:rPr>
      </w:pPr>
      <w:r>
        <w:rPr>
          <w:rFonts w:ascii="Calibri" w:hAnsi="Calibri"/>
          <w:sz w:val="22"/>
        </w:rPr>
        <w:t>Average advising caseload is 393 students (median is 418)</w:t>
      </w:r>
      <w:r w:rsidR="007A0235">
        <w:rPr>
          <w:rFonts w:ascii="Calibri" w:hAnsi="Calibri"/>
          <w:sz w:val="22"/>
        </w:rPr>
        <w:t xml:space="preserve"> (Data from 2017)</w:t>
      </w:r>
      <w:r>
        <w:rPr>
          <w:rFonts w:ascii="Calibri" w:hAnsi="Calibri"/>
          <w:sz w:val="22"/>
        </w:rPr>
        <w:t xml:space="preserve"> – NACADA recommends 300 students</w:t>
      </w:r>
    </w:p>
    <w:p w14:paraId="53470840" w14:textId="63320888" w:rsidR="00CB70CA" w:rsidRDefault="00CB70CA" w:rsidP="00CB70CA">
      <w:pPr>
        <w:pStyle w:val="ListParagraph"/>
        <w:numPr>
          <w:ilvl w:val="1"/>
          <w:numId w:val="12"/>
        </w:numPr>
        <w:rPr>
          <w:rFonts w:ascii="Calibri" w:hAnsi="Calibri"/>
          <w:sz w:val="22"/>
        </w:rPr>
      </w:pPr>
      <w:r>
        <w:rPr>
          <w:rFonts w:ascii="Calibri" w:hAnsi="Calibri"/>
          <w:sz w:val="22"/>
        </w:rPr>
        <w:t>Could we apply for state and</w:t>
      </w:r>
      <w:r w:rsidR="00DE536F">
        <w:rPr>
          <w:rFonts w:ascii="Calibri" w:hAnsi="Calibri"/>
          <w:sz w:val="22"/>
        </w:rPr>
        <w:t>/or federal</w:t>
      </w:r>
      <w:r>
        <w:rPr>
          <w:rFonts w:ascii="Calibri" w:hAnsi="Calibri"/>
          <w:sz w:val="22"/>
        </w:rPr>
        <w:t xml:space="preserve"> grants (e.g. </w:t>
      </w:r>
      <w:proofErr w:type="spellStart"/>
      <w:r>
        <w:rPr>
          <w:rFonts w:ascii="Calibri" w:hAnsi="Calibri"/>
          <w:sz w:val="22"/>
        </w:rPr>
        <w:t>TRiO</w:t>
      </w:r>
      <w:proofErr w:type="spellEnd"/>
      <w:r>
        <w:rPr>
          <w:rFonts w:ascii="Calibri" w:hAnsi="Calibri"/>
          <w:sz w:val="22"/>
        </w:rPr>
        <w:t>) to hire non-</w:t>
      </w:r>
      <w:proofErr w:type="spellStart"/>
      <w:r>
        <w:rPr>
          <w:rFonts w:ascii="Calibri" w:hAnsi="Calibri"/>
          <w:sz w:val="22"/>
        </w:rPr>
        <w:t>tenure</w:t>
      </w:r>
      <w:proofErr w:type="spellEnd"/>
      <w:r>
        <w:rPr>
          <w:rFonts w:ascii="Calibri" w:hAnsi="Calibri"/>
          <w:sz w:val="22"/>
        </w:rPr>
        <w:t xml:space="preserve"> faculty advisors? Next application </w:t>
      </w:r>
      <w:r w:rsidR="00DE536F">
        <w:rPr>
          <w:rFonts w:ascii="Calibri" w:hAnsi="Calibri"/>
          <w:sz w:val="22"/>
        </w:rPr>
        <w:t>cycle is 2019 or 20</w:t>
      </w:r>
      <w:r>
        <w:rPr>
          <w:rFonts w:ascii="Calibri" w:hAnsi="Calibri"/>
          <w:sz w:val="22"/>
        </w:rPr>
        <w:t>20</w:t>
      </w:r>
    </w:p>
    <w:p w14:paraId="0FA94021" w14:textId="77777777" w:rsidR="00CB70CA" w:rsidRDefault="00CB70CA" w:rsidP="00CB70CA">
      <w:pPr>
        <w:pStyle w:val="ListParagraph"/>
        <w:ind w:left="450"/>
        <w:rPr>
          <w:rFonts w:ascii="Calibri" w:hAnsi="Calibri"/>
          <w:b/>
          <w:sz w:val="22"/>
        </w:rPr>
      </w:pPr>
    </w:p>
    <w:p w14:paraId="30CFAEF6" w14:textId="41F2EA63" w:rsidR="000B52A5" w:rsidRDefault="000B52A5" w:rsidP="000344DC">
      <w:pPr>
        <w:pStyle w:val="ListParagraph"/>
        <w:numPr>
          <w:ilvl w:val="0"/>
          <w:numId w:val="2"/>
        </w:numPr>
        <w:ind w:left="450" w:hanging="360"/>
        <w:rPr>
          <w:rFonts w:ascii="Calibri" w:hAnsi="Calibri"/>
          <w:b/>
          <w:sz w:val="22"/>
        </w:rPr>
      </w:pPr>
      <w:r>
        <w:rPr>
          <w:rFonts w:ascii="Calibri" w:hAnsi="Calibri"/>
          <w:b/>
          <w:sz w:val="22"/>
        </w:rPr>
        <w:t xml:space="preserve">If you have to make adjustments in the future, please indicate what adjustments would be made at the </w:t>
      </w:r>
      <w:proofErr w:type="gramStart"/>
      <w:r>
        <w:rPr>
          <w:rFonts w:ascii="Calibri" w:hAnsi="Calibri"/>
          <w:b/>
          <w:sz w:val="22"/>
        </w:rPr>
        <w:t>%2</w:t>
      </w:r>
      <w:proofErr w:type="gramEnd"/>
      <w:r>
        <w:rPr>
          <w:rFonts w:ascii="Calibri" w:hAnsi="Calibri"/>
          <w:b/>
          <w:sz w:val="22"/>
        </w:rPr>
        <w:t xml:space="preserve"> level of reductions to your budget and the impact on your operations, services or programming.  </w:t>
      </w:r>
    </w:p>
    <w:p w14:paraId="1F2FA727" w14:textId="77777777" w:rsidR="00CB70CA" w:rsidRDefault="00CB70CA" w:rsidP="00CB70CA">
      <w:pPr>
        <w:pStyle w:val="ListParagraph"/>
        <w:ind w:left="450"/>
        <w:rPr>
          <w:rFonts w:ascii="Calibri" w:hAnsi="Calibri"/>
          <w:b/>
          <w:sz w:val="22"/>
        </w:rPr>
      </w:pPr>
    </w:p>
    <w:p w14:paraId="022C5119" w14:textId="77777777" w:rsidR="00CB70CA" w:rsidRPr="00CB70CA" w:rsidRDefault="00CB70CA" w:rsidP="00CB70CA">
      <w:pPr>
        <w:pStyle w:val="ListParagraph"/>
        <w:numPr>
          <w:ilvl w:val="0"/>
          <w:numId w:val="10"/>
        </w:numPr>
        <w:rPr>
          <w:rFonts w:ascii="Calibri" w:hAnsi="Calibri"/>
          <w:sz w:val="22"/>
        </w:rPr>
      </w:pPr>
      <w:r w:rsidRPr="00CB70CA">
        <w:rPr>
          <w:rFonts w:ascii="Calibri" w:hAnsi="Calibri"/>
          <w:sz w:val="22"/>
        </w:rPr>
        <w:t>See Excel Documents presented.</w:t>
      </w:r>
    </w:p>
    <w:p w14:paraId="1F16A452" w14:textId="77777777" w:rsidR="00CB70CA" w:rsidRDefault="00CB70CA" w:rsidP="00CB70CA">
      <w:pPr>
        <w:pStyle w:val="ListParagraph"/>
        <w:ind w:left="450"/>
        <w:rPr>
          <w:rFonts w:ascii="Calibri" w:hAnsi="Calibri"/>
          <w:b/>
          <w:sz w:val="22"/>
        </w:rPr>
      </w:pPr>
    </w:p>
    <w:p w14:paraId="1F53B80D" w14:textId="42AA94C9" w:rsidR="000B52A5" w:rsidRDefault="000B52A5" w:rsidP="000344DC">
      <w:pPr>
        <w:pStyle w:val="ListParagraph"/>
        <w:numPr>
          <w:ilvl w:val="0"/>
          <w:numId w:val="2"/>
        </w:numPr>
        <w:ind w:left="450" w:hanging="360"/>
        <w:rPr>
          <w:rFonts w:ascii="Calibri" w:hAnsi="Calibri"/>
          <w:b/>
          <w:sz w:val="22"/>
        </w:rPr>
      </w:pPr>
      <w:r>
        <w:rPr>
          <w:rFonts w:ascii="Calibri" w:hAnsi="Calibri"/>
          <w:b/>
          <w:sz w:val="22"/>
        </w:rPr>
        <w:t>In the future, there may be a need to make adjustments at a greater degree in the FY21 budget.  Please provide scenarios of potential budgetary adjustments at the 5%, 10% and 15% level of reductions.  Please indicate what impact these reductions would have on your operations, services or programming.</w:t>
      </w:r>
      <w:r w:rsidR="00CB70CA">
        <w:rPr>
          <w:rFonts w:ascii="Calibri" w:hAnsi="Calibri"/>
          <w:b/>
          <w:sz w:val="22"/>
        </w:rPr>
        <w:br/>
      </w:r>
    </w:p>
    <w:p w14:paraId="062FE210" w14:textId="324AD4BB" w:rsidR="008D6E4E" w:rsidRPr="00AD7B30" w:rsidRDefault="00CB70CA" w:rsidP="00AD7B30">
      <w:pPr>
        <w:pStyle w:val="ListParagraph"/>
        <w:numPr>
          <w:ilvl w:val="0"/>
          <w:numId w:val="10"/>
        </w:numPr>
        <w:rPr>
          <w:rFonts w:ascii="Calibri" w:hAnsi="Calibri"/>
          <w:sz w:val="22"/>
        </w:rPr>
      </w:pPr>
      <w:r w:rsidRPr="00AD7B30">
        <w:rPr>
          <w:rFonts w:ascii="Calibri" w:hAnsi="Calibri"/>
          <w:sz w:val="22"/>
        </w:rPr>
        <w:t>See Excel Documents presented.</w:t>
      </w:r>
    </w:p>
    <w:sectPr w:rsidR="008D6E4E" w:rsidRPr="00AD7B30" w:rsidSect="00186076">
      <w:footerReference w:type="default" r:id="rId1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CE208" w14:textId="77777777" w:rsidR="00D138CC" w:rsidRDefault="00D138CC" w:rsidP="000344DC">
      <w:r>
        <w:separator/>
      </w:r>
    </w:p>
  </w:endnote>
  <w:endnote w:type="continuationSeparator" w:id="0">
    <w:p w14:paraId="0E8B920E" w14:textId="77777777" w:rsidR="00D138CC" w:rsidRDefault="00D138CC" w:rsidP="0003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41161"/>
      <w:docPartObj>
        <w:docPartGallery w:val="Page Numbers (Bottom of Page)"/>
        <w:docPartUnique/>
      </w:docPartObj>
    </w:sdtPr>
    <w:sdtEndPr/>
    <w:sdtContent>
      <w:p w14:paraId="52A69DA7" w14:textId="77777777" w:rsidR="00034C8E" w:rsidRDefault="00D138CC">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0C4B" w14:textId="77777777" w:rsidR="00D138CC" w:rsidRDefault="00D138CC" w:rsidP="000344DC">
      <w:r>
        <w:separator/>
      </w:r>
    </w:p>
  </w:footnote>
  <w:footnote w:type="continuationSeparator" w:id="0">
    <w:p w14:paraId="056C133A" w14:textId="77777777" w:rsidR="00D138CC" w:rsidRDefault="00D138CC" w:rsidP="0003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B5"/>
    <w:multiLevelType w:val="hybridMultilevel"/>
    <w:tmpl w:val="3C308522"/>
    <w:lvl w:ilvl="0" w:tplc="E08E5996">
      <w:start w:val="1"/>
      <w:numFmt w:val="decimal"/>
      <w:lvlText w:val="%1."/>
      <w:lvlJc w:val="left"/>
      <w:pPr>
        <w:ind w:left="144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C7946"/>
    <w:multiLevelType w:val="hybridMultilevel"/>
    <w:tmpl w:val="83BEA7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1A55CFB"/>
    <w:multiLevelType w:val="hybridMultilevel"/>
    <w:tmpl w:val="922E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4727"/>
    <w:multiLevelType w:val="hybridMultilevel"/>
    <w:tmpl w:val="A9466D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44A6CF6"/>
    <w:multiLevelType w:val="hybridMultilevel"/>
    <w:tmpl w:val="95E2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7451B"/>
    <w:multiLevelType w:val="hybridMultilevel"/>
    <w:tmpl w:val="B768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C1DF1"/>
    <w:multiLevelType w:val="hybridMultilevel"/>
    <w:tmpl w:val="D64A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476C6"/>
    <w:multiLevelType w:val="hybridMultilevel"/>
    <w:tmpl w:val="C694BB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4815C35"/>
    <w:multiLevelType w:val="hybridMultilevel"/>
    <w:tmpl w:val="62E8FB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FEB354D"/>
    <w:multiLevelType w:val="hybridMultilevel"/>
    <w:tmpl w:val="0BB6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F1678"/>
    <w:multiLevelType w:val="hybridMultilevel"/>
    <w:tmpl w:val="A254094C"/>
    <w:lvl w:ilvl="0" w:tplc="E08E5996">
      <w:start w:val="1"/>
      <w:numFmt w:val="decimal"/>
      <w:lvlText w:val="%1."/>
      <w:lvlJc w:val="left"/>
      <w:pPr>
        <w:ind w:left="1440" w:hanging="14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172001"/>
    <w:multiLevelType w:val="hybridMultilevel"/>
    <w:tmpl w:val="08D63DB2"/>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100BB2"/>
    <w:multiLevelType w:val="hybridMultilevel"/>
    <w:tmpl w:val="DF649C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4460F18"/>
    <w:multiLevelType w:val="hybridMultilevel"/>
    <w:tmpl w:val="8DA0DD70"/>
    <w:lvl w:ilvl="0" w:tplc="1B6419D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855374C"/>
    <w:multiLevelType w:val="hybridMultilevel"/>
    <w:tmpl w:val="385C8AFC"/>
    <w:lvl w:ilvl="0" w:tplc="4A8C72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C506322"/>
    <w:multiLevelType w:val="hybridMultilevel"/>
    <w:tmpl w:val="A5F65E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E822791"/>
    <w:multiLevelType w:val="hybridMultilevel"/>
    <w:tmpl w:val="2EF6E6B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10"/>
  </w:num>
  <w:num w:numId="3">
    <w:abstractNumId w:val="0"/>
  </w:num>
  <w:num w:numId="4">
    <w:abstractNumId w:val="14"/>
  </w:num>
  <w:num w:numId="5">
    <w:abstractNumId w:val="13"/>
  </w:num>
  <w:num w:numId="6">
    <w:abstractNumId w:val="12"/>
  </w:num>
  <w:num w:numId="7">
    <w:abstractNumId w:val="15"/>
  </w:num>
  <w:num w:numId="8">
    <w:abstractNumId w:val="2"/>
  </w:num>
  <w:num w:numId="9">
    <w:abstractNumId w:val="4"/>
  </w:num>
  <w:num w:numId="10">
    <w:abstractNumId w:val="11"/>
  </w:num>
  <w:num w:numId="11">
    <w:abstractNumId w:val="16"/>
  </w:num>
  <w:num w:numId="12">
    <w:abstractNumId w:val="7"/>
  </w:num>
  <w:num w:numId="13">
    <w:abstractNumId w:val="6"/>
  </w:num>
  <w:num w:numId="14">
    <w:abstractNumId w:val="5"/>
  </w:num>
  <w:num w:numId="15">
    <w:abstractNumId w:val="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A7"/>
    <w:rsid w:val="00025345"/>
    <w:rsid w:val="000344DC"/>
    <w:rsid w:val="00034C8E"/>
    <w:rsid w:val="00070D35"/>
    <w:rsid w:val="0007756E"/>
    <w:rsid w:val="00084E0F"/>
    <w:rsid w:val="00094F3A"/>
    <w:rsid w:val="000B52A5"/>
    <w:rsid w:val="000C4994"/>
    <w:rsid w:val="000E27D8"/>
    <w:rsid w:val="00150A30"/>
    <w:rsid w:val="00186076"/>
    <w:rsid w:val="001A02EF"/>
    <w:rsid w:val="001D7802"/>
    <w:rsid w:val="00223D78"/>
    <w:rsid w:val="002507A5"/>
    <w:rsid w:val="00256CA2"/>
    <w:rsid w:val="00287213"/>
    <w:rsid w:val="00290782"/>
    <w:rsid w:val="00293839"/>
    <w:rsid w:val="002F069D"/>
    <w:rsid w:val="003164A1"/>
    <w:rsid w:val="003567C8"/>
    <w:rsid w:val="003709B4"/>
    <w:rsid w:val="00387ADA"/>
    <w:rsid w:val="003D2B60"/>
    <w:rsid w:val="003F73B0"/>
    <w:rsid w:val="00416EE1"/>
    <w:rsid w:val="00463BAB"/>
    <w:rsid w:val="00486504"/>
    <w:rsid w:val="004C4613"/>
    <w:rsid w:val="00546CD2"/>
    <w:rsid w:val="005771DF"/>
    <w:rsid w:val="005960A7"/>
    <w:rsid w:val="0061639D"/>
    <w:rsid w:val="00645CB6"/>
    <w:rsid w:val="0065696B"/>
    <w:rsid w:val="0069093D"/>
    <w:rsid w:val="006A22CD"/>
    <w:rsid w:val="006D3A0F"/>
    <w:rsid w:val="006E5ED1"/>
    <w:rsid w:val="006F5461"/>
    <w:rsid w:val="00715211"/>
    <w:rsid w:val="007235BA"/>
    <w:rsid w:val="00755EA6"/>
    <w:rsid w:val="00770A39"/>
    <w:rsid w:val="007803B3"/>
    <w:rsid w:val="007A0235"/>
    <w:rsid w:val="007C2C11"/>
    <w:rsid w:val="007F13E4"/>
    <w:rsid w:val="007F2F61"/>
    <w:rsid w:val="0080594F"/>
    <w:rsid w:val="00853B05"/>
    <w:rsid w:val="00861482"/>
    <w:rsid w:val="00883324"/>
    <w:rsid w:val="008B1FD6"/>
    <w:rsid w:val="008D4A43"/>
    <w:rsid w:val="008D6E4E"/>
    <w:rsid w:val="008F7CD4"/>
    <w:rsid w:val="009345A8"/>
    <w:rsid w:val="0099408A"/>
    <w:rsid w:val="009A4CC9"/>
    <w:rsid w:val="009C5070"/>
    <w:rsid w:val="009E0B87"/>
    <w:rsid w:val="00A0514F"/>
    <w:rsid w:val="00A2502D"/>
    <w:rsid w:val="00A26D50"/>
    <w:rsid w:val="00A46E9B"/>
    <w:rsid w:val="00AB287D"/>
    <w:rsid w:val="00AC5D5B"/>
    <w:rsid w:val="00AD7B30"/>
    <w:rsid w:val="00B84750"/>
    <w:rsid w:val="00BC42AB"/>
    <w:rsid w:val="00BE25A7"/>
    <w:rsid w:val="00BF2794"/>
    <w:rsid w:val="00BF3C2B"/>
    <w:rsid w:val="00C22DB5"/>
    <w:rsid w:val="00C60D76"/>
    <w:rsid w:val="00C64CEA"/>
    <w:rsid w:val="00C66420"/>
    <w:rsid w:val="00CA1240"/>
    <w:rsid w:val="00CB5502"/>
    <w:rsid w:val="00CB70CA"/>
    <w:rsid w:val="00CB7420"/>
    <w:rsid w:val="00D001D7"/>
    <w:rsid w:val="00D138CC"/>
    <w:rsid w:val="00D20F2F"/>
    <w:rsid w:val="00D56EC3"/>
    <w:rsid w:val="00D81FF3"/>
    <w:rsid w:val="00D86FED"/>
    <w:rsid w:val="00DC7A69"/>
    <w:rsid w:val="00DE4EAB"/>
    <w:rsid w:val="00DE536F"/>
    <w:rsid w:val="00DF3723"/>
    <w:rsid w:val="00E64BC3"/>
    <w:rsid w:val="00E65190"/>
    <w:rsid w:val="00E7189C"/>
    <w:rsid w:val="00E72FF7"/>
    <w:rsid w:val="00EA63CE"/>
    <w:rsid w:val="00F45E4B"/>
    <w:rsid w:val="00F532B9"/>
    <w:rsid w:val="00F90A68"/>
    <w:rsid w:val="00F973EE"/>
    <w:rsid w:val="00FC737D"/>
    <w:rsid w:val="00FD52C4"/>
    <w:rsid w:val="00FD5913"/>
    <w:rsid w:val="00FD7EB6"/>
    <w:rsid w:val="00FE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1A61"/>
  <w15:docId w15:val="{6AB973C4-6A91-4697-AD65-B4B43EAC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right="547" w:hanging="36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4E"/>
    <w:pPr>
      <w:suppressAutoHyphens/>
      <w:ind w:left="0" w:right="0" w:firstLine="0"/>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0A7"/>
    <w:rPr>
      <w:rFonts w:ascii="Tahoma" w:hAnsi="Tahoma" w:cs="Tahoma"/>
      <w:sz w:val="16"/>
      <w:szCs w:val="16"/>
    </w:rPr>
  </w:style>
  <w:style w:type="character" w:customStyle="1" w:styleId="BalloonTextChar">
    <w:name w:val="Balloon Text Char"/>
    <w:basedOn w:val="DefaultParagraphFont"/>
    <w:link w:val="BalloonText"/>
    <w:uiPriority w:val="99"/>
    <w:semiHidden/>
    <w:rsid w:val="005960A7"/>
    <w:rPr>
      <w:rFonts w:ascii="Tahoma" w:eastAsia="Times New Roman" w:hAnsi="Tahoma" w:cs="Tahoma"/>
      <w:sz w:val="16"/>
      <w:szCs w:val="16"/>
      <w:lang w:eastAsia="ar-SA"/>
    </w:rPr>
  </w:style>
  <w:style w:type="character" w:styleId="Hyperlink">
    <w:name w:val="Hyperlink"/>
    <w:basedOn w:val="DefaultParagraphFont"/>
    <w:uiPriority w:val="99"/>
    <w:unhideWhenUsed/>
    <w:rsid w:val="009A4CC9"/>
    <w:rPr>
      <w:color w:val="0000FF" w:themeColor="hyperlink"/>
      <w:u w:val="single"/>
    </w:rPr>
  </w:style>
  <w:style w:type="paragraph" w:customStyle="1" w:styleId="Formal1">
    <w:name w:val="Formal1"/>
    <w:rsid w:val="003164A1"/>
    <w:pPr>
      <w:suppressAutoHyphens/>
      <w:spacing w:before="60" w:after="60"/>
      <w:ind w:left="0" w:right="0" w:firstLine="0"/>
    </w:pPr>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3164A1"/>
    <w:pPr>
      <w:ind w:left="720"/>
      <w:contextualSpacing/>
    </w:pPr>
  </w:style>
  <w:style w:type="paragraph" w:styleId="Header">
    <w:name w:val="header"/>
    <w:basedOn w:val="Normal"/>
    <w:link w:val="HeaderChar"/>
    <w:uiPriority w:val="99"/>
    <w:unhideWhenUsed/>
    <w:rsid w:val="000344DC"/>
    <w:pPr>
      <w:tabs>
        <w:tab w:val="center" w:pos="4680"/>
        <w:tab w:val="right" w:pos="9360"/>
      </w:tabs>
    </w:pPr>
  </w:style>
  <w:style w:type="character" w:customStyle="1" w:styleId="HeaderChar">
    <w:name w:val="Header Char"/>
    <w:basedOn w:val="DefaultParagraphFont"/>
    <w:link w:val="Header"/>
    <w:uiPriority w:val="99"/>
    <w:rsid w:val="000344D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344DC"/>
    <w:pPr>
      <w:tabs>
        <w:tab w:val="center" w:pos="4680"/>
        <w:tab w:val="right" w:pos="9360"/>
      </w:tabs>
    </w:pPr>
  </w:style>
  <w:style w:type="character" w:customStyle="1" w:styleId="FooterChar">
    <w:name w:val="Footer Char"/>
    <w:basedOn w:val="DefaultParagraphFont"/>
    <w:link w:val="Footer"/>
    <w:uiPriority w:val="99"/>
    <w:rsid w:val="000344DC"/>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223D78"/>
    <w:pPr>
      <w:ind w:left="0" w:right="0" w:firstLine="0"/>
    </w:pPr>
    <w:rPr>
      <w:rFonts w:eastAsiaTheme="minorEastAsia"/>
    </w:rPr>
  </w:style>
  <w:style w:type="character" w:customStyle="1" w:styleId="NoSpacingChar">
    <w:name w:val="No Spacing Char"/>
    <w:basedOn w:val="DefaultParagraphFont"/>
    <w:link w:val="NoSpacing"/>
    <w:uiPriority w:val="1"/>
    <w:rsid w:val="00223D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FT Salaries</cx:pt>
          <cx:pt idx="1">FT Benefits</cx:pt>
          <cx:pt idx="2">Hourly (AD &amp; AM)</cx:pt>
          <cx:pt idx="3">Extended Days (AE)</cx:pt>
          <cx:pt idx="4">PT Faculty (AH)</cx:pt>
          <cx:pt idx="5">Goods (E)</cx:pt>
          <cx:pt idx="6">Travel (G) </cx:pt>
        </cx:lvl>
      </cx:strDim>
      <cx:numDim type="size">
        <cx:f>Sheet1!$B$2:$B$8</cx:f>
        <cx:lvl ptCount="7" formatCode="&quot;$&quot;#,##0">
          <cx:pt idx="0">615163</cx:pt>
          <cx:pt idx="1">232368</cx:pt>
          <cx:pt idx="2">18000</cx:pt>
          <cx:pt idx="3">29000</cx:pt>
          <cx:pt idx="4">4000</cx:pt>
          <cx:pt idx="5">17500</cx:pt>
          <cx:pt idx="6">3000</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a:rPr>
              <a:t>Advising - 100% operational</a:t>
            </a:r>
          </a:p>
        </cx:rich>
      </cx:tx>
    </cx:title>
    <cx:plotArea>
      <cx:plotAreaRegion>
        <cx:series layoutId="sunburst" uniqueId="{8CE7142A-9A73-4FEC-99AC-993909ABB0DB}">
          <cx:tx>
            <cx:txData>
              <cx:f>Sheet1!$B$1</cx:f>
              <cx:v>Advising</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CF03F0E-A886-4658-95EB-E7A7975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Orientation Document for the Services &amp; Activities Fee Committee</dc:subject>
  <dc:creator>Joseph Salama</dc:creator>
  <cp:lastModifiedBy>Coogan, Jennifer</cp:lastModifiedBy>
  <cp:revision>7</cp:revision>
  <cp:lastPrinted>2019-04-25T19:58:00Z</cp:lastPrinted>
  <dcterms:created xsi:type="dcterms:W3CDTF">2019-04-29T19:29:00Z</dcterms:created>
  <dcterms:modified xsi:type="dcterms:W3CDTF">2019-05-03T23:51:00Z</dcterms:modified>
</cp:coreProperties>
</file>